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414" w:rsidRDefault="00772414" w:rsidP="00772414">
      <w:pPr>
        <w:pStyle w:val="af3"/>
        <w:rPr>
          <w:rFonts w:ascii="Times New Roman" w:hAnsi="Times New Roman" w:cs="Times New Roman"/>
          <w:lang w:eastAsia="zh-CN"/>
        </w:rPr>
      </w:pPr>
      <w:bookmarkStart w:id="0" w:name="_Ref380700306"/>
      <w:r>
        <w:rPr>
          <w:rFonts w:ascii="Times New Roman" w:hAnsi="Times New Roman" w:cs="Times New Roman"/>
          <w:lang w:eastAsia="zh-CN"/>
        </w:rPr>
        <w:t>Research of Readout S</w:t>
      </w:r>
      <w:r w:rsidRPr="00772414">
        <w:rPr>
          <w:rFonts w:ascii="Times New Roman" w:hAnsi="Times New Roman" w:cs="Times New Roman"/>
          <w:lang w:eastAsia="zh-CN"/>
        </w:rPr>
        <w:t>ystem for CEPC Semi-Digital Hadronic Calorimeter</w:t>
      </w:r>
    </w:p>
    <w:p w:rsidR="00772414" w:rsidRPr="00772414" w:rsidRDefault="00772414" w:rsidP="00772414">
      <w:pPr>
        <w:rPr>
          <w:lang w:eastAsia="zh-CN"/>
        </w:rPr>
      </w:pPr>
    </w:p>
    <w:p w:rsidR="00772414" w:rsidRDefault="00772414" w:rsidP="00DD2357">
      <w:pPr>
        <w:pStyle w:val="1"/>
        <w:rPr>
          <w:rFonts w:ascii="TimesNewRomanPS-BoldMT" w:hAnsi="TimesNewRomanPS-BoldMT" w:cs="TimesNewRomanPS-BoldMT"/>
          <w:b/>
          <w:bCs/>
          <w:sz w:val="22"/>
          <w:lang w:eastAsia="zh-CN"/>
        </w:rPr>
        <w:sectPr w:rsidR="00772414" w:rsidSect="00772414">
          <w:endnotePr>
            <w:numFmt w:val="decimal"/>
          </w:endnotePr>
          <w:type w:val="continuous"/>
          <w:pgSz w:w="12240" w:h="15840" w:code="1"/>
          <w:pgMar w:top="1080" w:right="907" w:bottom="1440" w:left="907" w:header="720" w:footer="720" w:gutter="0"/>
          <w:cols w:space="360"/>
          <w:docGrid w:linePitch="360"/>
        </w:sectPr>
      </w:pPr>
    </w:p>
    <w:p w:rsidR="002C7C41" w:rsidRDefault="000A54D5" w:rsidP="00DD2357">
      <w:pPr>
        <w:pStyle w:val="1"/>
        <w:rPr>
          <w:rFonts w:ascii="TimesNewRomanPS-BoldMT" w:hAnsi="TimesNewRomanPS-BoldMT" w:cs="TimesNewRomanPS-BoldMT"/>
          <w:b/>
          <w:bCs/>
          <w:sz w:val="22"/>
          <w:lang w:eastAsia="zh-CN"/>
        </w:rPr>
      </w:pPr>
      <w:r>
        <w:rPr>
          <w:rFonts w:ascii="TimesNewRomanPS-BoldMT" w:hAnsi="TimesNewRomanPS-BoldMT" w:cs="TimesNewRomanPS-BoldMT" w:hint="eastAsia"/>
          <w:b/>
          <w:bCs/>
          <w:sz w:val="22"/>
          <w:lang w:eastAsia="zh-CN"/>
        </w:rPr>
        <w:t>i</w:t>
      </w:r>
      <w:r w:rsidR="002C7C41">
        <w:rPr>
          <w:rFonts w:ascii="TimesNewRomanPS-BoldMT" w:hAnsi="TimesNewRomanPS-BoldMT" w:cs="TimesNewRomanPS-BoldMT" w:hint="eastAsia"/>
          <w:b/>
          <w:bCs/>
          <w:sz w:val="22"/>
          <w:lang w:eastAsia="zh-CN"/>
        </w:rPr>
        <w:t>ntroduction</w:t>
      </w:r>
    </w:p>
    <w:p w:rsidR="00A66D98" w:rsidRDefault="007F797F" w:rsidP="00915520">
      <w:pPr>
        <w:ind w:firstLine="420"/>
        <w:jc w:val="both"/>
        <w:rPr>
          <w:sz w:val="22"/>
          <w:szCs w:val="22"/>
          <w:lang w:eastAsia="zh-CN"/>
        </w:rPr>
      </w:pPr>
      <w:r>
        <w:rPr>
          <w:rFonts w:hint="eastAsia"/>
          <w:sz w:val="22"/>
          <w:szCs w:val="22"/>
          <w:lang w:eastAsia="zh-CN"/>
        </w:rPr>
        <w:t>Af</w:t>
      </w:r>
      <w:r>
        <w:rPr>
          <w:sz w:val="22"/>
          <w:szCs w:val="22"/>
        </w:rPr>
        <w:t>ter the discovery of the Higgs</w:t>
      </w:r>
      <w:r w:rsidR="00190417">
        <w:rPr>
          <w:sz w:val="22"/>
          <w:szCs w:val="22"/>
        </w:rPr>
        <w:t xml:space="preserve"> boson</w:t>
      </w:r>
      <w:r>
        <w:rPr>
          <w:sz w:val="22"/>
          <w:szCs w:val="22"/>
        </w:rPr>
        <w:t>, it is natural to measure its pro</w:t>
      </w:r>
      <w:r w:rsidR="00190417">
        <w:rPr>
          <w:sz w:val="22"/>
          <w:szCs w:val="22"/>
        </w:rPr>
        <w:t>perties as precise as possible. To obtain</w:t>
      </w:r>
      <w:r w:rsidR="00F045EF">
        <w:rPr>
          <w:sz w:val="22"/>
          <w:szCs w:val="22"/>
        </w:rPr>
        <w:t xml:space="preserve"> large number of Higgs boson, collider experiments are </w:t>
      </w:r>
      <w:r w:rsidR="00E90DF8">
        <w:rPr>
          <w:rFonts w:hint="eastAsia"/>
          <w:sz w:val="22"/>
          <w:szCs w:val="22"/>
          <w:lang w:eastAsia="zh-CN"/>
        </w:rPr>
        <w:t>essential</w:t>
      </w:r>
      <w:r w:rsidR="00E90DF8">
        <w:rPr>
          <w:sz w:val="22"/>
          <w:szCs w:val="22"/>
        </w:rPr>
        <w:t xml:space="preserve"> </w:t>
      </w:r>
      <w:r w:rsidR="00F045EF">
        <w:rPr>
          <w:sz w:val="22"/>
          <w:szCs w:val="22"/>
        </w:rPr>
        <w:t>such as the running Larg</w:t>
      </w:r>
      <w:r w:rsidR="00E90DF8">
        <w:rPr>
          <w:sz w:val="22"/>
          <w:szCs w:val="22"/>
        </w:rPr>
        <w:t>e Hadron Collider (LHC). Besides LHC, scientists are propose to build future high energy collider such as International Linear Collider (LHC), Compact Linear Collider (CLIC), Future Circular Collider (FCC) and Circular Electron Positron Collider (CEPC)</w:t>
      </w:r>
      <w:r w:rsidR="0015415B">
        <w:rPr>
          <w:rFonts w:hint="eastAsia"/>
          <w:sz w:val="22"/>
          <w:szCs w:val="22"/>
          <w:lang w:eastAsia="zh-CN"/>
        </w:rPr>
        <w:t xml:space="preserve">. </w:t>
      </w:r>
      <w:r w:rsidR="0015415B">
        <w:rPr>
          <w:sz w:val="22"/>
          <w:szCs w:val="22"/>
          <w:lang w:eastAsia="zh-CN"/>
        </w:rPr>
        <w:t>Calorimeters play an important role in modern collider system</w:t>
      </w:r>
      <w:r w:rsidR="00C01E24">
        <w:rPr>
          <w:sz w:val="22"/>
          <w:szCs w:val="22"/>
          <w:lang w:eastAsia="zh-CN"/>
        </w:rPr>
        <w:t xml:space="preserve"> and for hadronic measurement sampling calorimeter is the best choice due to its fine segment and high spatial resolution. For hadronic calorimeter, usually use steel as absorber layer and gas detector or scintillator as active layer.</w:t>
      </w:r>
    </w:p>
    <w:p w:rsidR="00C01E24" w:rsidRDefault="00C01E24" w:rsidP="006102B5">
      <w:pPr>
        <w:ind w:firstLine="420"/>
        <w:jc w:val="both"/>
        <w:rPr>
          <w:sz w:val="22"/>
          <w:szCs w:val="22"/>
          <w:lang w:eastAsia="zh-CN"/>
        </w:rPr>
      </w:pPr>
      <w:r>
        <w:rPr>
          <w:rFonts w:hint="eastAsia"/>
          <w:sz w:val="22"/>
          <w:szCs w:val="22"/>
          <w:lang w:eastAsia="zh-CN"/>
        </w:rPr>
        <w:t xml:space="preserve">Simulation results show that </w:t>
      </w:r>
      <w:r w:rsidR="00AC3CFB" w:rsidRPr="00AC3CFB">
        <w:rPr>
          <w:sz w:val="22"/>
          <w:szCs w:val="22"/>
          <w:lang w:eastAsia="zh-CN"/>
        </w:rPr>
        <w:t>for a calorimeter with cell sizes as small</w:t>
      </w:r>
      <w:r w:rsidR="00AC3CFB">
        <w:rPr>
          <w:sz w:val="22"/>
          <w:szCs w:val="22"/>
          <w:lang w:eastAsia="zh-CN"/>
        </w:rPr>
        <w:t xml:space="preserve"> </w:t>
      </w:r>
      <w:r w:rsidR="00AC3CFB" w:rsidRPr="00AC3CFB">
        <w:rPr>
          <w:sz w:val="22"/>
          <w:szCs w:val="22"/>
          <w:lang w:eastAsia="zh-CN"/>
        </w:rPr>
        <w:t>as 1×1 cm</w:t>
      </w:r>
      <w:r w:rsidR="00AC3CFB" w:rsidRPr="00486447">
        <w:rPr>
          <w:sz w:val="22"/>
          <w:szCs w:val="22"/>
          <w:vertAlign w:val="superscript"/>
          <w:lang w:eastAsia="zh-CN"/>
        </w:rPr>
        <w:t>2</w:t>
      </w:r>
      <w:r w:rsidR="00AC3CFB" w:rsidRPr="00AC3CFB">
        <w:rPr>
          <w:sz w:val="22"/>
          <w:szCs w:val="22"/>
          <w:lang w:eastAsia="zh-CN"/>
        </w:rPr>
        <w:t>, simple hit counting is already a good energy measurement for hadrons in the energy range of final state particles for the CEPC</w:t>
      </w:r>
      <w:r w:rsidR="00AC3CFB">
        <w:rPr>
          <w:rStyle w:val="af2"/>
          <w:sz w:val="22"/>
          <w:szCs w:val="22"/>
          <w:lang w:eastAsia="zh-CN"/>
        </w:rPr>
        <w:endnoteReference w:id="1"/>
      </w:r>
      <w:r w:rsidR="00AC3CFB">
        <w:rPr>
          <w:sz w:val="22"/>
          <w:szCs w:val="22"/>
          <w:lang w:eastAsia="zh-CN"/>
        </w:rPr>
        <w:t>.</w:t>
      </w:r>
      <w:r w:rsidR="00B67750">
        <w:rPr>
          <w:sz w:val="22"/>
          <w:szCs w:val="22"/>
          <w:lang w:eastAsia="zh-CN"/>
        </w:rPr>
        <w:t xml:space="preserve"> </w:t>
      </w:r>
      <w:r w:rsidR="006102B5" w:rsidRPr="006102B5">
        <w:rPr>
          <w:sz w:val="22"/>
          <w:szCs w:val="22"/>
          <w:lang w:eastAsia="zh-CN"/>
        </w:rPr>
        <w:t>The probability for more than one charged particle hitting the same readout pad in-creases for higher energy, especially in the central region of a shower. A more general calorimeter with multi-threshold readout (e.g.3 thresholds) is therefore also considered, a so-called Semi-Digital Hadron Calorimeter (SDHCAL)</w:t>
      </w:r>
      <w:r w:rsidR="00AB4E1D">
        <w:rPr>
          <w:sz w:val="22"/>
          <w:szCs w:val="22"/>
          <w:lang w:eastAsia="zh-CN"/>
        </w:rPr>
        <w:t xml:space="preserve">. </w:t>
      </w:r>
    </w:p>
    <w:p w:rsidR="00AB4E1D" w:rsidRPr="00915520" w:rsidRDefault="00AB4E1D" w:rsidP="006102B5">
      <w:pPr>
        <w:ind w:firstLine="420"/>
        <w:jc w:val="both"/>
        <w:rPr>
          <w:sz w:val="22"/>
          <w:szCs w:val="22"/>
          <w:lang w:eastAsia="zh-CN"/>
        </w:rPr>
      </w:pPr>
      <w:r>
        <w:rPr>
          <w:rFonts w:hint="eastAsia"/>
          <w:sz w:val="22"/>
          <w:szCs w:val="22"/>
          <w:lang w:eastAsia="zh-CN"/>
        </w:rPr>
        <w:t xml:space="preserve">For CEPC HCAL, </w:t>
      </w:r>
      <w:r w:rsidRPr="00AB4E1D">
        <w:rPr>
          <w:sz w:val="22"/>
          <w:szCs w:val="22"/>
          <w:lang w:eastAsia="zh-CN"/>
        </w:rPr>
        <w:t>Gaseous Electron Multipliers</w:t>
      </w:r>
      <w:r w:rsidR="00486447">
        <w:rPr>
          <w:sz w:val="22"/>
          <w:szCs w:val="22"/>
          <w:lang w:eastAsia="zh-CN"/>
        </w:rPr>
        <w:t xml:space="preserve"> (</w:t>
      </w:r>
      <w:r>
        <w:rPr>
          <w:sz w:val="22"/>
          <w:szCs w:val="22"/>
          <w:lang w:eastAsia="zh-CN"/>
        </w:rPr>
        <w:t>GEM</w:t>
      </w:r>
      <w:r w:rsidR="00486447">
        <w:rPr>
          <w:sz w:val="22"/>
          <w:szCs w:val="22"/>
          <w:lang w:eastAsia="zh-CN"/>
        </w:rPr>
        <w:t>)</w:t>
      </w:r>
      <w:r>
        <w:rPr>
          <w:sz w:val="22"/>
          <w:szCs w:val="22"/>
          <w:lang w:eastAsia="zh-CN"/>
        </w:rPr>
        <w:t xml:space="preserve"> detector</w:t>
      </w:r>
      <w:r w:rsidR="00486447">
        <w:rPr>
          <w:sz w:val="22"/>
          <w:szCs w:val="22"/>
          <w:lang w:eastAsia="zh-CN"/>
        </w:rPr>
        <w:t xml:space="preserve"> </w:t>
      </w:r>
      <w:r w:rsidR="00486447" w:rsidRPr="00486447">
        <w:rPr>
          <w:sz w:val="22"/>
          <w:szCs w:val="22"/>
          <w:lang w:eastAsia="zh-CN"/>
        </w:rPr>
        <w:t>have been proposed for the active layers</w:t>
      </w:r>
      <w:r w:rsidR="00486447">
        <w:rPr>
          <w:sz w:val="22"/>
          <w:szCs w:val="22"/>
          <w:lang w:eastAsia="zh-CN"/>
        </w:rPr>
        <w:t xml:space="preserve"> due to its </w:t>
      </w:r>
      <w:r w:rsidR="00486447" w:rsidRPr="00486447">
        <w:rPr>
          <w:sz w:val="22"/>
          <w:szCs w:val="22"/>
          <w:lang w:eastAsia="zh-CN"/>
        </w:rPr>
        <w:t>high efficiency, high rate capability, homogeneity and compactness.</w:t>
      </w:r>
      <w:r w:rsidR="00486447">
        <w:rPr>
          <w:sz w:val="22"/>
          <w:szCs w:val="22"/>
          <w:lang w:eastAsia="zh-CN"/>
        </w:rPr>
        <w:t xml:space="preserve"> The readout pads is sized </w:t>
      </w:r>
      <w:r w:rsidR="00486447" w:rsidRPr="00AC3CFB">
        <w:rPr>
          <w:sz w:val="22"/>
          <w:szCs w:val="22"/>
          <w:lang w:eastAsia="zh-CN"/>
        </w:rPr>
        <w:t>1×1 cm</w:t>
      </w:r>
      <w:r w:rsidR="00486447" w:rsidRPr="00EF3F0C">
        <w:rPr>
          <w:sz w:val="22"/>
          <w:szCs w:val="22"/>
          <w:lang w:eastAsia="zh-CN"/>
        </w:rPr>
        <w:t>2</w:t>
      </w:r>
      <w:r w:rsidR="00486447" w:rsidRPr="00AC3CFB">
        <w:rPr>
          <w:sz w:val="22"/>
          <w:szCs w:val="22"/>
          <w:lang w:eastAsia="zh-CN"/>
        </w:rPr>
        <w:t>,</w:t>
      </w:r>
      <w:r w:rsidR="00486447">
        <w:rPr>
          <w:sz w:val="22"/>
          <w:szCs w:val="22"/>
          <w:lang w:eastAsia="zh-CN"/>
        </w:rPr>
        <w:t xml:space="preserve"> and for entire HCAL the readout channel density might </w:t>
      </w:r>
      <w:r w:rsidR="00DE5440">
        <w:rPr>
          <w:sz w:val="22"/>
          <w:szCs w:val="22"/>
          <w:lang w:eastAsia="zh-CN"/>
        </w:rPr>
        <w:t>be</w:t>
      </w:r>
      <m:oMath>
        <m:r>
          <m:rPr>
            <m:sty m:val="p"/>
          </m:rPr>
          <w:rPr>
            <w:rFonts w:ascii="Cambria Math" w:hAnsi="Cambria Math"/>
            <w:sz w:val="22"/>
            <w:szCs w:val="22"/>
            <w:lang w:eastAsia="zh-CN"/>
          </w:rPr>
          <m:t xml:space="preserve"> </m:t>
        </m:r>
        <m:r>
          <m:rPr>
            <m:sty m:val="p"/>
          </m:rPr>
          <w:rPr>
            <w:rFonts w:ascii="Cambria Math" w:hAnsi="Cambria Math"/>
            <w:sz w:val="22"/>
            <w:szCs w:val="22"/>
            <w:lang w:eastAsia="zh-CN"/>
          </w:rPr>
          <m:t>4×</m:t>
        </m:r>
        <m:sSup>
          <m:sSupPr>
            <m:ctrlPr>
              <w:rPr>
                <w:rFonts w:ascii="Cambria Math" w:hAnsi="Cambria Math"/>
                <w:sz w:val="22"/>
                <w:szCs w:val="22"/>
                <w:lang w:eastAsia="zh-CN"/>
              </w:rPr>
            </m:ctrlPr>
          </m:sSupPr>
          <m:e>
            <m:r>
              <m:rPr>
                <m:sty m:val="p"/>
              </m:rPr>
              <w:rPr>
                <w:rFonts w:ascii="Cambria Math" w:hAnsi="Cambria Math"/>
                <w:sz w:val="22"/>
                <w:szCs w:val="22"/>
                <w:lang w:eastAsia="zh-CN"/>
              </w:rPr>
              <m:t>10</m:t>
            </m:r>
          </m:e>
          <m:sup>
            <m:r>
              <m:rPr>
                <m:sty m:val="p"/>
              </m:rPr>
              <w:rPr>
                <w:rFonts w:ascii="Cambria Math" w:hAnsi="Cambria Math"/>
                <w:sz w:val="22"/>
                <w:szCs w:val="22"/>
                <w:lang w:eastAsia="zh-CN"/>
              </w:rPr>
              <m:t>5</m:t>
            </m:r>
          </m:sup>
        </m:sSup>
        <m:r>
          <m:rPr>
            <m:sty m:val="p"/>
          </m:rPr>
          <w:rPr>
            <w:rFonts w:ascii="Cambria Math" w:hAnsi="Cambria Math" w:hint="eastAsia"/>
            <w:sz w:val="22"/>
            <w:szCs w:val="22"/>
            <w:lang w:eastAsia="zh-CN"/>
          </w:rPr>
          <m:t>/</m:t>
        </m:r>
        <m:sSup>
          <m:sSupPr>
            <m:ctrlPr>
              <w:rPr>
                <w:rFonts w:ascii="Cambria Math" w:hAnsi="Cambria Math"/>
                <w:sz w:val="22"/>
                <w:szCs w:val="22"/>
                <w:lang w:eastAsia="zh-CN"/>
              </w:rPr>
            </m:ctrlPr>
          </m:sSupPr>
          <m:e>
            <m:r>
              <w:rPr>
                <w:rFonts w:ascii="Cambria Math" w:hAnsi="Cambria Math"/>
                <w:sz w:val="22"/>
                <w:szCs w:val="22"/>
                <w:lang w:eastAsia="zh-CN"/>
              </w:rPr>
              <m:t>m</m:t>
            </m:r>
          </m:e>
          <m:sup>
            <m:r>
              <m:rPr>
                <m:sty m:val="p"/>
              </m:rPr>
              <w:rPr>
                <w:rFonts w:ascii="Cambria Math" w:hAnsi="Cambria Math"/>
                <w:sz w:val="22"/>
                <w:szCs w:val="22"/>
                <w:lang w:eastAsia="zh-CN"/>
              </w:rPr>
              <m:t>3</m:t>
            </m:r>
          </m:sup>
        </m:sSup>
      </m:oMath>
      <w:r w:rsidR="00486447" w:rsidRPr="00EF3F0C">
        <w:rPr>
          <w:rFonts w:hint="eastAsia"/>
          <w:sz w:val="22"/>
          <w:szCs w:val="22"/>
          <w:lang w:eastAsia="zh-CN"/>
        </w:rPr>
        <w:t xml:space="preserve">. </w:t>
      </w:r>
      <w:r w:rsidR="00486447" w:rsidRPr="00EF3F0C">
        <w:rPr>
          <w:sz w:val="22"/>
          <w:szCs w:val="22"/>
          <w:lang w:eastAsia="zh-CN"/>
        </w:rPr>
        <w:t>So that the data acquisition system must be carefully designed.</w:t>
      </w:r>
    </w:p>
    <w:bookmarkEnd w:id="0"/>
    <w:p w:rsidR="00314CC6" w:rsidRDefault="00486447" w:rsidP="00486447">
      <w:pPr>
        <w:pStyle w:val="1"/>
        <w:rPr>
          <w:rFonts w:ascii="TimesNewRomanPS-BoldMT" w:hAnsi="TimesNewRomanPS-BoldMT" w:cs="TimesNewRomanPS-BoldMT"/>
          <w:b/>
          <w:bCs/>
          <w:sz w:val="22"/>
          <w:lang w:eastAsia="zh-CN"/>
        </w:rPr>
      </w:pPr>
      <w:r>
        <w:rPr>
          <w:rFonts w:ascii="TimesNewRomanPS-BoldMT" w:hAnsi="TimesNewRomanPS-BoldMT" w:cs="TimesNewRomanPS-BoldMT"/>
          <w:b/>
          <w:bCs/>
          <w:sz w:val="22"/>
          <w:lang w:eastAsia="zh-CN"/>
        </w:rPr>
        <w:t>READOUT ASIC</w:t>
      </w:r>
      <w:bookmarkStart w:id="1" w:name="OLE_LINK11"/>
      <w:bookmarkStart w:id="2" w:name="OLE_LINK12"/>
    </w:p>
    <w:p w:rsidR="006D57E6" w:rsidRDefault="006D57E6" w:rsidP="006D57E6">
      <w:r>
        <w:object w:dxaOrig="13635"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1pt;height:2in" o:ole="">
            <v:imagedata r:id="rId8" o:title=""/>
          </v:shape>
          <o:OLEObject Type="Embed" ProgID="Visio.Drawing.15" ShapeID="_x0000_i1025" DrawAspect="Content" ObjectID="_1577473580" r:id="rId9"/>
        </w:object>
      </w:r>
    </w:p>
    <w:p w:rsidR="006D57E6" w:rsidRPr="006D57E6" w:rsidRDefault="006D57E6" w:rsidP="006D57E6">
      <w:pPr>
        <w:pStyle w:val="aa"/>
        <w:rPr>
          <w:lang w:eastAsia="zh-CN"/>
        </w:rPr>
      </w:pPr>
      <w:r>
        <w:rPr>
          <w:rFonts w:hint="eastAsia"/>
          <w:lang w:eastAsia="zh-CN"/>
        </w:rPr>
        <w:t>F</w:t>
      </w:r>
      <w:r>
        <w:rPr>
          <w:lang w:eastAsia="zh-CN"/>
        </w:rPr>
        <w:t>igure 1 Structure of MICROROC ASIC</w:t>
      </w:r>
    </w:p>
    <w:p w:rsidR="006D57E6" w:rsidRPr="00EF3F0C" w:rsidRDefault="00DE5440" w:rsidP="00EF3F0C">
      <w:pPr>
        <w:ind w:firstLine="420"/>
        <w:jc w:val="both"/>
        <w:rPr>
          <w:sz w:val="22"/>
          <w:szCs w:val="22"/>
          <w:lang w:eastAsia="zh-CN"/>
        </w:rPr>
      </w:pPr>
      <w:r w:rsidRPr="00EF3F0C">
        <w:rPr>
          <w:sz w:val="22"/>
          <w:szCs w:val="22"/>
          <w:lang w:eastAsia="zh-CN"/>
        </w:rPr>
        <w:t>An ASIC named MICROROC (MICRO-mesh gaseous structure Read-Out Chip) is chosen to readout such huge channels. MICROROC is a 64 channels readout integrated circuit developed at IN2P3 by OMEGA/LAL and LAPP microelectronics groups</w:t>
      </w:r>
      <w:r w:rsidRPr="00EF3F0C">
        <w:rPr>
          <w:sz w:val="22"/>
          <w:szCs w:val="22"/>
        </w:rPr>
        <w:endnoteReference w:id="2"/>
      </w:r>
      <w:r w:rsidRPr="00EF3F0C">
        <w:rPr>
          <w:sz w:val="22"/>
          <w:szCs w:val="22"/>
          <w:lang w:eastAsia="zh-CN"/>
        </w:rPr>
        <w:t>.</w:t>
      </w:r>
      <w:r w:rsidR="00772414" w:rsidRPr="00EF3F0C">
        <w:rPr>
          <w:sz w:val="22"/>
          <w:szCs w:val="22"/>
          <w:lang w:eastAsia="zh-CN"/>
        </w:rPr>
        <w:t xml:space="preserve"> The structure block of MICROROC is shown in figure 1. </w:t>
      </w:r>
      <w:r w:rsidR="006D57E6" w:rsidRPr="00EF3F0C">
        <w:rPr>
          <w:sz w:val="22"/>
          <w:szCs w:val="22"/>
          <w:lang w:eastAsia="zh-CN"/>
        </w:rPr>
        <w:t xml:space="preserve"> Each channel of MICROROC is made of </w:t>
      </w:r>
      <w:proofErr w:type="gramStart"/>
      <w:r w:rsidR="006D57E6" w:rsidRPr="00EF3F0C">
        <w:rPr>
          <w:sz w:val="22"/>
          <w:szCs w:val="22"/>
          <w:lang w:eastAsia="zh-CN"/>
        </w:rPr>
        <w:t>a</w:t>
      </w:r>
      <w:proofErr w:type="gramEnd"/>
      <w:r w:rsidR="006D57E6" w:rsidRPr="00EF3F0C">
        <w:rPr>
          <w:sz w:val="22"/>
          <w:szCs w:val="22"/>
          <w:lang w:eastAsia="zh-CN"/>
        </w:rPr>
        <w:t xml:space="preserve"> very low noise charge preamplifier, two different adjustable shapers (A high gain shaper for small signal and a low gain shaper for large signal), three comparators for tri-threshold readout and a random access memory used as a digital buffer.</w:t>
      </w:r>
      <w:r w:rsidR="00772414" w:rsidRPr="00EF3F0C">
        <w:rPr>
          <w:sz w:val="22"/>
          <w:szCs w:val="22"/>
          <w:lang w:eastAsia="zh-CN"/>
        </w:rPr>
        <w:t xml:space="preserve"> Other blocks, like 10-bit DAC, configuration register, bandgap voltage reference, LVDS receiver are shared by 64 channels.</w:t>
      </w:r>
    </w:p>
    <w:p w:rsidR="00AD7F4E" w:rsidRDefault="00772414" w:rsidP="00314CC6">
      <w:pPr>
        <w:pStyle w:val="1"/>
        <w:rPr>
          <w:rFonts w:ascii="TimesNewRomanPS-BoldMT" w:hAnsi="TimesNewRomanPS-BoldMT" w:cs="TimesNewRomanPS-BoldMT"/>
          <w:b/>
          <w:bCs/>
          <w:sz w:val="22"/>
          <w:lang w:eastAsia="zh-CN"/>
        </w:rPr>
      </w:pPr>
      <w:r>
        <w:rPr>
          <w:rFonts w:ascii="TimesNewRomanPS-BoldMT" w:hAnsi="TimesNewRomanPS-BoldMT" w:cs="TimesNewRomanPS-BoldMT"/>
          <w:b/>
          <w:bCs/>
          <w:sz w:val="22"/>
          <w:lang w:eastAsia="zh-CN"/>
        </w:rPr>
        <w:t>Data Acquisition System</w:t>
      </w:r>
    </w:p>
    <w:p w:rsidR="00EF3F0C" w:rsidRDefault="00EF3F0C" w:rsidP="00E931E6">
      <w:pPr>
        <w:ind w:firstLine="216"/>
        <w:jc w:val="left"/>
        <w:rPr>
          <w:lang w:eastAsia="zh-CN"/>
        </w:rPr>
      </w:pPr>
      <w:r>
        <w:rPr>
          <w:rFonts w:hint="eastAsia"/>
          <w:lang w:eastAsia="zh-CN"/>
        </w:rPr>
        <w:t>The reado</w:t>
      </w:r>
      <w:r>
        <w:rPr>
          <w:lang w:eastAsia="zh-CN"/>
        </w:rPr>
        <w:t>ut system structure is developed on SRS</w:t>
      </w:r>
      <w:r>
        <w:rPr>
          <w:rStyle w:val="af2"/>
          <w:lang w:eastAsia="zh-CN"/>
        </w:rPr>
        <w:endnoteReference w:id="3"/>
      </w:r>
      <w:r>
        <w:rPr>
          <w:lang w:eastAsia="zh-CN"/>
        </w:rPr>
        <w:t xml:space="preserve"> (the Scalable Readout System) proposed by the RD51 Collaboration. Similar with SRS, the readout system contains 3 main parts, a front-end board (FEB), a detector Interface board (DIF) and data acquisition card (DAQ). The structure of the whole system is shown in Figure 2.</w:t>
      </w:r>
    </w:p>
    <w:p w:rsidR="00EF3F0C" w:rsidRDefault="00EF3F0C" w:rsidP="00EF3F0C">
      <w:pPr>
        <w:jc w:val="left"/>
      </w:pPr>
      <w:r>
        <w:object w:dxaOrig="16695" w:dyaOrig="5145">
          <v:shape id="_x0000_i1026" type="#_x0000_t75" style="width:251.35pt;height:77.25pt" o:ole="">
            <v:imagedata r:id="rId10" o:title=""/>
          </v:shape>
          <o:OLEObject Type="Embed" ProgID="Visio.Drawing.15" ShapeID="_x0000_i1026" DrawAspect="Content" ObjectID="_1577473581" r:id="rId11"/>
        </w:object>
      </w:r>
    </w:p>
    <w:p w:rsidR="00E931E6" w:rsidRDefault="00E931E6" w:rsidP="00E931E6">
      <w:pPr>
        <w:ind w:firstLine="216"/>
        <w:jc w:val="left"/>
        <w:rPr>
          <w:lang w:eastAsia="zh-CN"/>
        </w:rPr>
      </w:pPr>
      <w:r>
        <w:rPr>
          <w:rFonts w:hint="eastAsia"/>
          <w:lang w:eastAsia="zh-CN"/>
        </w:rPr>
        <w:t>The FEB (</w:t>
      </w:r>
      <w:r>
        <w:rPr>
          <w:lang w:eastAsia="zh-CN"/>
        </w:rPr>
        <w:t>also called ASU-Active Sensor Unit</w:t>
      </w:r>
      <w:r>
        <w:rPr>
          <w:rFonts w:hint="eastAsia"/>
          <w:lang w:eastAsia="zh-CN"/>
        </w:rPr>
        <w:t>)</w:t>
      </w:r>
      <w:r>
        <w:rPr>
          <w:lang w:eastAsia="zh-CN"/>
        </w:rPr>
        <w:t xml:space="preserve"> carries all the front-end ASIC, and in the future design it will be together with the readout plane of GEM detector. The DIF board is in charge of ASIC control and data connection, which is plugged to FEB using high density connector. The DAQ card is design to serve serval DIF boards. It distributes the clock, command and trigger to different DIF and gather the data from board.</w:t>
      </w:r>
    </w:p>
    <w:p w:rsidR="00E931E6" w:rsidRPr="00EF3F0C" w:rsidRDefault="00E931E6" w:rsidP="00E931E6">
      <w:pPr>
        <w:ind w:firstLine="216"/>
        <w:jc w:val="left"/>
        <w:rPr>
          <w:rFonts w:hint="eastAsia"/>
          <w:lang w:eastAsia="zh-CN"/>
        </w:rPr>
      </w:pPr>
      <w:r>
        <w:rPr>
          <w:lang w:eastAsia="zh-CN"/>
        </w:rPr>
        <w:t xml:space="preserve">A phase-I design is completed to verify this kinds of readout structure and to test the performance of the MICROROC chip. </w:t>
      </w:r>
      <w:bookmarkStart w:id="3" w:name="_GoBack"/>
      <w:bookmarkEnd w:id="3"/>
    </w:p>
    <w:p w:rsidR="00F75302" w:rsidRPr="00772414" w:rsidRDefault="00772414" w:rsidP="00772414">
      <w:pPr>
        <w:pStyle w:val="1"/>
        <w:rPr>
          <w:rFonts w:ascii="TimesNewRomanPS-BoldMT" w:hAnsi="TimesNewRomanPS-BoldMT" w:cs="TimesNewRomanPS-BoldMT"/>
          <w:b/>
          <w:bCs/>
          <w:sz w:val="22"/>
          <w:lang w:eastAsia="zh-CN"/>
        </w:rPr>
      </w:pPr>
      <w:r w:rsidRPr="00772414">
        <w:rPr>
          <w:rFonts w:ascii="TimesNewRomanPS-BoldMT" w:hAnsi="TimesNewRomanPS-BoldMT" w:cs="TimesNewRomanPS-BoldMT"/>
          <w:b/>
          <w:bCs/>
          <w:sz w:val="22"/>
          <w:lang w:eastAsia="zh-CN"/>
        </w:rPr>
        <w:t>Calibration and Test</w:t>
      </w:r>
    </w:p>
    <w:p w:rsidR="00D231BD" w:rsidRPr="00BB654D" w:rsidRDefault="003D3B49" w:rsidP="00D231BD">
      <w:pPr>
        <w:pStyle w:val="1"/>
        <w:rPr>
          <w:rFonts w:ascii="TimesNewRomanPS-BoldMT" w:hAnsi="TimesNewRomanPS-BoldMT" w:cs="TimesNewRomanPS-BoldMT"/>
          <w:b/>
          <w:bCs/>
          <w:sz w:val="22"/>
          <w:lang w:eastAsia="zh-CN"/>
        </w:rPr>
      </w:pPr>
      <w:r w:rsidRPr="00BB654D">
        <w:rPr>
          <w:rFonts w:ascii="TimesNewRomanPS-BoldMT" w:hAnsi="TimesNewRomanPS-BoldMT" w:cs="TimesNewRomanPS-BoldMT" w:hint="eastAsia"/>
          <w:b/>
          <w:bCs/>
          <w:sz w:val="22"/>
          <w:lang w:eastAsia="zh-CN"/>
        </w:rPr>
        <w:t>Conclusion</w:t>
      </w:r>
    </w:p>
    <w:bookmarkEnd w:id="1"/>
    <w:bookmarkEnd w:id="2"/>
    <w:p w:rsidR="00DB1483" w:rsidRDefault="00DB1483" w:rsidP="00DB1483">
      <w:pPr>
        <w:pStyle w:val="1"/>
        <w:numPr>
          <w:ilvl w:val="0"/>
          <w:numId w:val="0"/>
        </w:numPr>
        <w:ind w:left="216"/>
        <w:jc w:val="both"/>
        <w:rPr>
          <w:rFonts w:ascii="TimesNewRomanPS-BoldMT" w:hAnsi="TimesNewRomanPS-BoldMT" w:cs="TimesNewRomanPS-BoldMT"/>
          <w:b/>
          <w:bCs/>
          <w:sz w:val="22"/>
          <w:lang w:eastAsia="zh-CN"/>
        </w:rPr>
      </w:pPr>
      <w:r w:rsidRPr="00DB1483">
        <w:rPr>
          <w:rFonts w:ascii="TimesNewRomanPS-BoldMT" w:hAnsi="TimesNewRomanPS-BoldMT" w:cs="TimesNewRomanPS-BoldMT"/>
          <w:b/>
          <w:bCs/>
          <w:sz w:val="22"/>
          <w:lang w:eastAsia="zh-CN"/>
        </w:rPr>
        <w:t>Reference:</w:t>
      </w:r>
    </w:p>
    <w:p w:rsidR="00E932FD" w:rsidRPr="00E932FD" w:rsidRDefault="00E932FD" w:rsidP="00E932FD">
      <w:pPr>
        <w:rPr>
          <w:lang w:eastAsia="zh-CN"/>
        </w:rPr>
      </w:pPr>
    </w:p>
    <w:sectPr w:rsidR="00E932FD" w:rsidRPr="00E932FD" w:rsidSect="00F92B24">
      <w:endnotePr>
        <w:numFmt w:val="decimal"/>
      </w:endnotePr>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A55" w:rsidRDefault="001E4A55" w:rsidP="00480653">
      <w:r>
        <w:separator/>
      </w:r>
    </w:p>
  </w:endnote>
  <w:endnote w:type="continuationSeparator" w:id="0">
    <w:p w:rsidR="001E4A55" w:rsidRDefault="001E4A55" w:rsidP="00480653">
      <w:r>
        <w:continuationSeparator/>
      </w:r>
    </w:p>
  </w:endnote>
  <w:endnote w:id="1">
    <w:p w:rsidR="00AC3CFB" w:rsidRDefault="00AC3CFB" w:rsidP="00B67750">
      <w:pPr>
        <w:pStyle w:val="af1"/>
        <w:jc w:val="both"/>
        <w:rPr>
          <w:lang w:eastAsia="zh-CN"/>
        </w:rPr>
      </w:pPr>
      <w:r>
        <w:rPr>
          <w:rStyle w:val="af2"/>
        </w:rPr>
        <w:endnoteRef/>
      </w:r>
      <w:r>
        <w:t xml:space="preserve"> </w:t>
      </w:r>
      <w:r w:rsidRPr="00AC3CFB">
        <w:t>Ahmad, M. (2015). CEPC-SPPC preliminary conceptual design report, volume I: physics and detector.</w:t>
      </w:r>
    </w:p>
  </w:endnote>
  <w:endnote w:id="2">
    <w:p w:rsidR="00DE5440" w:rsidRDefault="00DE5440" w:rsidP="006D57E6">
      <w:pPr>
        <w:pStyle w:val="af1"/>
      </w:pPr>
      <w:r>
        <w:rPr>
          <w:rStyle w:val="af2"/>
        </w:rPr>
        <w:endnoteRef/>
      </w:r>
      <w:r>
        <w:t xml:space="preserve"> </w:t>
      </w:r>
      <w:proofErr w:type="spellStart"/>
      <w:r w:rsidRPr="00DE5440">
        <w:t>Adloff</w:t>
      </w:r>
      <w:proofErr w:type="spellEnd"/>
      <w:r w:rsidRPr="00DE5440">
        <w:t xml:space="preserve">, C., </w:t>
      </w:r>
      <w:proofErr w:type="spellStart"/>
      <w:r w:rsidRPr="00DE5440">
        <w:t>Blaha</w:t>
      </w:r>
      <w:proofErr w:type="spellEnd"/>
      <w:r w:rsidRPr="00DE5440">
        <w:t xml:space="preserve">, J., </w:t>
      </w:r>
      <w:proofErr w:type="spellStart"/>
      <w:r w:rsidRPr="00DE5440">
        <w:t>Chefdeville</w:t>
      </w:r>
      <w:proofErr w:type="spellEnd"/>
      <w:r w:rsidRPr="00DE5440">
        <w:t xml:space="preserve">, M., </w:t>
      </w:r>
      <w:proofErr w:type="spellStart"/>
      <w:r w:rsidRPr="00DE5440">
        <w:t>Dalmaz</w:t>
      </w:r>
      <w:proofErr w:type="spellEnd"/>
      <w:r w:rsidRPr="00DE5440">
        <w:t xml:space="preserve">, A., </w:t>
      </w:r>
      <w:proofErr w:type="spellStart"/>
      <w:r w:rsidRPr="00DE5440">
        <w:t>Drancourt</w:t>
      </w:r>
      <w:proofErr w:type="spellEnd"/>
      <w:r w:rsidRPr="00DE5440">
        <w:t xml:space="preserve">, C., </w:t>
      </w:r>
      <w:proofErr w:type="spellStart"/>
      <w:r w:rsidRPr="00DE5440">
        <w:t>Dulucq</w:t>
      </w:r>
      <w:proofErr w:type="spellEnd"/>
      <w:r w:rsidRPr="00DE5440">
        <w:t>, F</w:t>
      </w:r>
      <w:proofErr w:type="gramStart"/>
      <w:r w:rsidRPr="00DE5440">
        <w:t>., ...</w:t>
      </w:r>
      <w:proofErr w:type="gramEnd"/>
      <w:r w:rsidRPr="00DE5440">
        <w:t xml:space="preserve"> &amp; </w:t>
      </w:r>
      <w:proofErr w:type="spellStart"/>
      <w:r w:rsidRPr="00DE5440">
        <w:t>Karyotakis</w:t>
      </w:r>
      <w:proofErr w:type="spellEnd"/>
      <w:r w:rsidRPr="00DE5440">
        <w:t xml:space="preserve">, Y. (2012). </w:t>
      </w:r>
      <w:r>
        <w:t>M</w:t>
      </w:r>
      <w:r w:rsidRPr="00DE5440">
        <w:t>ICROROC: MICRO-mesh gaseous structure Read-Out Chip. Journal of Instrumentation, 7(01), C01029.</w:t>
      </w:r>
    </w:p>
    <w:p w:rsidR="00DE5440" w:rsidRDefault="00DE5440">
      <w:pPr>
        <w:pStyle w:val="af1"/>
        <w:rPr>
          <w:lang w:eastAsia="zh-CN"/>
        </w:rPr>
      </w:pPr>
    </w:p>
  </w:endnote>
  <w:endnote w:id="3">
    <w:p w:rsidR="00EF3F0C" w:rsidRDefault="00EF3F0C">
      <w:pPr>
        <w:pStyle w:val="af1"/>
        <w:rPr>
          <w:rFonts w:hint="eastAsia"/>
          <w:lang w:eastAsia="zh-CN"/>
        </w:rPr>
      </w:pPr>
      <w:r>
        <w:rPr>
          <w:rStyle w:val="af2"/>
        </w:rPr>
        <w:endnoteRef/>
      </w:r>
      <w:r>
        <w:t xml:space="preserve"> </w:t>
      </w:r>
      <w:proofErr w:type="spellStart"/>
      <w:r w:rsidRPr="00EF3F0C">
        <w:t>Martoiu</w:t>
      </w:r>
      <w:proofErr w:type="spellEnd"/>
      <w:r w:rsidRPr="00EF3F0C">
        <w:t xml:space="preserve">, S., Muller, H., </w:t>
      </w:r>
      <w:proofErr w:type="spellStart"/>
      <w:r w:rsidRPr="00EF3F0C">
        <w:t>Tarazona</w:t>
      </w:r>
      <w:proofErr w:type="spellEnd"/>
      <w:r w:rsidRPr="00EF3F0C">
        <w:t>, A., &amp; Toledo, J. (2013). Development of the scalable readout system for micro-pattern gas detectors and other applications. Journal of Instrumentation, 8(03), C03015.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A55" w:rsidRDefault="001E4A55" w:rsidP="00480653">
      <w:r>
        <w:separator/>
      </w:r>
    </w:p>
  </w:footnote>
  <w:footnote w:type="continuationSeparator" w:id="0">
    <w:p w:rsidR="001E4A55" w:rsidRDefault="001E4A55" w:rsidP="00480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C24980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9202C"/>
    <w:multiLevelType w:val="hybridMultilevel"/>
    <w:tmpl w:val="D68670D6"/>
    <w:lvl w:ilvl="0" w:tplc="4CBE6B78">
      <w:start w:val="1"/>
      <w:numFmt w:val="decimal"/>
      <w:lvlText w:val="[%1] "/>
      <w:lvlJc w:val="left"/>
      <w:pPr>
        <w:ind w:left="720" w:hanging="720"/>
      </w:pPr>
      <w:rPr>
        <w:rFonts w:hint="default"/>
      </w:rPr>
    </w:lvl>
    <w:lvl w:ilvl="1" w:tplc="04090019" w:tentative="1">
      <w:start w:val="1"/>
      <w:numFmt w:val="lowerLetter"/>
      <w:lvlText w:val="%2)"/>
      <w:lvlJc w:val="left"/>
      <w:pPr>
        <w:ind w:left="750" w:hanging="420"/>
      </w:pPr>
    </w:lvl>
    <w:lvl w:ilvl="2" w:tplc="0409001B" w:tentative="1">
      <w:start w:val="1"/>
      <w:numFmt w:val="lowerRoman"/>
      <w:lvlText w:val="%3."/>
      <w:lvlJc w:val="right"/>
      <w:pPr>
        <w:ind w:left="1170" w:hanging="420"/>
      </w:pPr>
    </w:lvl>
    <w:lvl w:ilvl="3" w:tplc="0409000F" w:tentative="1">
      <w:start w:val="1"/>
      <w:numFmt w:val="decimal"/>
      <w:lvlText w:val="%4."/>
      <w:lvlJc w:val="left"/>
      <w:pPr>
        <w:ind w:left="1590" w:hanging="420"/>
      </w:pPr>
    </w:lvl>
    <w:lvl w:ilvl="4" w:tplc="04090019" w:tentative="1">
      <w:start w:val="1"/>
      <w:numFmt w:val="lowerLetter"/>
      <w:lvlText w:val="%5)"/>
      <w:lvlJc w:val="left"/>
      <w:pPr>
        <w:ind w:left="2010" w:hanging="420"/>
      </w:pPr>
    </w:lvl>
    <w:lvl w:ilvl="5" w:tplc="0409001B" w:tentative="1">
      <w:start w:val="1"/>
      <w:numFmt w:val="lowerRoman"/>
      <w:lvlText w:val="%6."/>
      <w:lvlJc w:val="right"/>
      <w:pPr>
        <w:ind w:left="2430" w:hanging="420"/>
      </w:pPr>
    </w:lvl>
    <w:lvl w:ilvl="6" w:tplc="0409000F" w:tentative="1">
      <w:start w:val="1"/>
      <w:numFmt w:val="decimal"/>
      <w:lvlText w:val="%7."/>
      <w:lvlJc w:val="left"/>
      <w:pPr>
        <w:ind w:left="2850" w:hanging="420"/>
      </w:pPr>
    </w:lvl>
    <w:lvl w:ilvl="7" w:tplc="04090019" w:tentative="1">
      <w:start w:val="1"/>
      <w:numFmt w:val="lowerLetter"/>
      <w:lvlText w:val="%8)"/>
      <w:lvlJc w:val="left"/>
      <w:pPr>
        <w:ind w:left="3270" w:hanging="420"/>
      </w:pPr>
    </w:lvl>
    <w:lvl w:ilvl="8" w:tplc="0409001B" w:tentative="1">
      <w:start w:val="1"/>
      <w:numFmt w:val="lowerRoman"/>
      <w:lvlText w:val="%9."/>
      <w:lvlJc w:val="right"/>
      <w:pPr>
        <w:ind w:left="3690" w:hanging="420"/>
      </w:pPr>
    </w:lvl>
  </w:abstractNum>
  <w:abstractNum w:abstractNumId="2" w15:restartNumberingAfterBreak="0">
    <w:nsid w:val="19DA66C7"/>
    <w:multiLevelType w:val="hybridMultilevel"/>
    <w:tmpl w:val="3104CD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A7666728"/>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A7895"/>
    <w:multiLevelType w:val="hybridMultilevel"/>
    <w:tmpl w:val="61AEB06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9"/>
  </w:num>
  <w:num w:numId="3">
    <w:abstractNumId w:val="3"/>
  </w:num>
  <w:num w:numId="4">
    <w:abstractNumId w:val="5"/>
  </w:num>
  <w:num w:numId="5">
    <w:abstractNumId w:val="8"/>
  </w:num>
  <w:num w:numId="6">
    <w:abstractNumId w:val="10"/>
  </w:num>
  <w:num w:numId="7">
    <w:abstractNumId w:val="6"/>
  </w:num>
  <w:num w:numId="8">
    <w:abstractNumId w:val="2"/>
  </w:num>
  <w:num w:numId="9">
    <w:abstractNumId w:val="7"/>
  </w:num>
  <w:num w:numId="10">
    <w:abstractNumId w:val="5"/>
  </w:num>
  <w:num w:numId="11">
    <w:abstractNumId w:val="0"/>
  </w:num>
  <w:num w:numId="12">
    <w:abstractNumId w:val="1"/>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468"/>
    <w:rsid w:val="000104E8"/>
    <w:rsid w:val="00017CAE"/>
    <w:rsid w:val="00022C52"/>
    <w:rsid w:val="00024947"/>
    <w:rsid w:val="00026426"/>
    <w:rsid w:val="00037822"/>
    <w:rsid w:val="00045EF4"/>
    <w:rsid w:val="0004781E"/>
    <w:rsid w:val="00047B6F"/>
    <w:rsid w:val="00052A3D"/>
    <w:rsid w:val="00074436"/>
    <w:rsid w:val="00085CD3"/>
    <w:rsid w:val="000940CF"/>
    <w:rsid w:val="000A54D5"/>
    <w:rsid w:val="000B423D"/>
    <w:rsid w:val="000B63D9"/>
    <w:rsid w:val="000D0E53"/>
    <w:rsid w:val="000D265D"/>
    <w:rsid w:val="000D28F1"/>
    <w:rsid w:val="000F41D3"/>
    <w:rsid w:val="000F785C"/>
    <w:rsid w:val="001051C1"/>
    <w:rsid w:val="0011271F"/>
    <w:rsid w:val="001155BA"/>
    <w:rsid w:val="0013692C"/>
    <w:rsid w:val="0015197E"/>
    <w:rsid w:val="0015415B"/>
    <w:rsid w:val="00162F08"/>
    <w:rsid w:val="00170D2A"/>
    <w:rsid w:val="00175669"/>
    <w:rsid w:val="00180196"/>
    <w:rsid w:val="00182FF8"/>
    <w:rsid w:val="00190417"/>
    <w:rsid w:val="001A2882"/>
    <w:rsid w:val="001A2EFD"/>
    <w:rsid w:val="001B15E9"/>
    <w:rsid w:val="001B2465"/>
    <w:rsid w:val="001B67DC"/>
    <w:rsid w:val="001C3A93"/>
    <w:rsid w:val="001E4A55"/>
    <w:rsid w:val="001E7C0B"/>
    <w:rsid w:val="001F73D1"/>
    <w:rsid w:val="002032CB"/>
    <w:rsid w:val="002059AD"/>
    <w:rsid w:val="002068A5"/>
    <w:rsid w:val="00206C51"/>
    <w:rsid w:val="00207EE0"/>
    <w:rsid w:val="00212A54"/>
    <w:rsid w:val="00223A71"/>
    <w:rsid w:val="002254A9"/>
    <w:rsid w:val="00231BA0"/>
    <w:rsid w:val="00237683"/>
    <w:rsid w:val="00245C80"/>
    <w:rsid w:val="00246899"/>
    <w:rsid w:val="00247710"/>
    <w:rsid w:val="00251E12"/>
    <w:rsid w:val="00254CBE"/>
    <w:rsid w:val="00283E28"/>
    <w:rsid w:val="00296328"/>
    <w:rsid w:val="002B5EF2"/>
    <w:rsid w:val="002C62D8"/>
    <w:rsid w:val="002C7C41"/>
    <w:rsid w:val="002E08FE"/>
    <w:rsid w:val="002E131C"/>
    <w:rsid w:val="002F6DBC"/>
    <w:rsid w:val="00302BBA"/>
    <w:rsid w:val="0030720C"/>
    <w:rsid w:val="00314CC6"/>
    <w:rsid w:val="00315EB1"/>
    <w:rsid w:val="00331A9A"/>
    <w:rsid w:val="00335675"/>
    <w:rsid w:val="003358F9"/>
    <w:rsid w:val="00345496"/>
    <w:rsid w:val="00347F84"/>
    <w:rsid w:val="00373091"/>
    <w:rsid w:val="003813EB"/>
    <w:rsid w:val="00387649"/>
    <w:rsid w:val="00387F0F"/>
    <w:rsid w:val="003934E5"/>
    <w:rsid w:val="003A0F91"/>
    <w:rsid w:val="003A19E2"/>
    <w:rsid w:val="003A48D5"/>
    <w:rsid w:val="003A4994"/>
    <w:rsid w:val="003B01F1"/>
    <w:rsid w:val="003B17F9"/>
    <w:rsid w:val="003C2450"/>
    <w:rsid w:val="003C28E7"/>
    <w:rsid w:val="003C6E57"/>
    <w:rsid w:val="003D147B"/>
    <w:rsid w:val="003D3B49"/>
    <w:rsid w:val="003E1E82"/>
    <w:rsid w:val="003F1F8D"/>
    <w:rsid w:val="003F1FDD"/>
    <w:rsid w:val="00406779"/>
    <w:rsid w:val="004157E9"/>
    <w:rsid w:val="00423B2C"/>
    <w:rsid w:val="00423DC8"/>
    <w:rsid w:val="00435EF0"/>
    <w:rsid w:val="004372D9"/>
    <w:rsid w:val="00440D04"/>
    <w:rsid w:val="00441AB5"/>
    <w:rsid w:val="00445D9D"/>
    <w:rsid w:val="0045532D"/>
    <w:rsid w:val="004655B6"/>
    <w:rsid w:val="00465AC1"/>
    <w:rsid w:val="00475C8D"/>
    <w:rsid w:val="00480653"/>
    <w:rsid w:val="00486447"/>
    <w:rsid w:val="0048740D"/>
    <w:rsid w:val="004A24B1"/>
    <w:rsid w:val="004D60B0"/>
    <w:rsid w:val="004D72B5"/>
    <w:rsid w:val="004E05C0"/>
    <w:rsid w:val="004E3C71"/>
    <w:rsid w:val="004F0BFD"/>
    <w:rsid w:val="00507464"/>
    <w:rsid w:val="00517662"/>
    <w:rsid w:val="00521BC7"/>
    <w:rsid w:val="0052754F"/>
    <w:rsid w:val="005374A8"/>
    <w:rsid w:val="00551B7F"/>
    <w:rsid w:val="00555C54"/>
    <w:rsid w:val="00563952"/>
    <w:rsid w:val="0056470B"/>
    <w:rsid w:val="0057513F"/>
    <w:rsid w:val="00575BCA"/>
    <w:rsid w:val="0058449D"/>
    <w:rsid w:val="005B0344"/>
    <w:rsid w:val="005B520E"/>
    <w:rsid w:val="005B732D"/>
    <w:rsid w:val="005C27DC"/>
    <w:rsid w:val="005C4BD3"/>
    <w:rsid w:val="005D4A6B"/>
    <w:rsid w:val="005D4D9A"/>
    <w:rsid w:val="005E2800"/>
    <w:rsid w:val="005F2E88"/>
    <w:rsid w:val="005F67AC"/>
    <w:rsid w:val="006015B4"/>
    <w:rsid w:val="00605DF2"/>
    <w:rsid w:val="006102B5"/>
    <w:rsid w:val="00613978"/>
    <w:rsid w:val="0062398E"/>
    <w:rsid w:val="0062784B"/>
    <w:rsid w:val="00632171"/>
    <w:rsid w:val="00643D59"/>
    <w:rsid w:val="00646973"/>
    <w:rsid w:val="00647619"/>
    <w:rsid w:val="00651A08"/>
    <w:rsid w:val="00654B09"/>
    <w:rsid w:val="00655C8C"/>
    <w:rsid w:val="006659A2"/>
    <w:rsid w:val="0066689A"/>
    <w:rsid w:val="00666F27"/>
    <w:rsid w:val="00670434"/>
    <w:rsid w:val="00670AFB"/>
    <w:rsid w:val="006C2990"/>
    <w:rsid w:val="006D57E6"/>
    <w:rsid w:val="006D75A7"/>
    <w:rsid w:val="006F4268"/>
    <w:rsid w:val="00701392"/>
    <w:rsid w:val="00706B5F"/>
    <w:rsid w:val="00716632"/>
    <w:rsid w:val="00740E5B"/>
    <w:rsid w:val="00740EEA"/>
    <w:rsid w:val="00746921"/>
    <w:rsid w:val="00756F15"/>
    <w:rsid w:val="007656EB"/>
    <w:rsid w:val="00772414"/>
    <w:rsid w:val="007808AF"/>
    <w:rsid w:val="00794804"/>
    <w:rsid w:val="00795CC4"/>
    <w:rsid w:val="007B027F"/>
    <w:rsid w:val="007B33F1"/>
    <w:rsid w:val="007C0308"/>
    <w:rsid w:val="007C2FF2"/>
    <w:rsid w:val="007C75D1"/>
    <w:rsid w:val="007D5D14"/>
    <w:rsid w:val="007D7B08"/>
    <w:rsid w:val="007E315C"/>
    <w:rsid w:val="007E4D4F"/>
    <w:rsid w:val="007F0D2D"/>
    <w:rsid w:val="007F1F99"/>
    <w:rsid w:val="007F28B5"/>
    <w:rsid w:val="007F768F"/>
    <w:rsid w:val="007F797F"/>
    <w:rsid w:val="00800186"/>
    <w:rsid w:val="0080791D"/>
    <w:rsid w:val="00810F5E"/>
    <w:rsid w:val="00826124"/>
    <w:rsid w:val="008373F9"/>
    <w:rsid w:val="008465C7"/>
    <w:rsid w:val="00850BF0"/>
    <w:rsid w:val="00857DE0"/>
    <w:rsid w:val="008655DD"/>
    <w:rsid w:val="00876165"/>
    <w:rsid w:val="00877A7E"/>
    <w:rsid w:val="00880E77"/>
    <w:rsid w:val="00886692"/>
    <w:rsid w:val="008A2C7D"/>
    <w:rsid w:val="008A4D34"/>
    <w:rsid w:val="008A6407"/>
    <w:rsid w:val="008B5D10"/>
    <w:rsid w:val="008C4B23"/>
    <w:rsid w:val="008C723A"/>
    <w:rsid w:val="008E2951"/>
    <w:rsid w:val="008E4E55"/>
    <w:rsid w:val="008F1478"/>
    <w:rsid w:val="008F7280"/>
    <w:rsid w:val="00902376"/>
    <w:rsid w:val="009026A3"/>
    <w:rsid w:val="00903DDD"/>
    <w:rsid w:val="00904512"/>
    <w:rsid w:val="00915520"/>
    <w:rsid w:val="00920D1A"/>
    <w:rsid w:val="009303D9"/>
    <w:rsid w:val="009336A6"/>
    <w:rsid w:val="00933C64"/>
    <w:rsid w:val="0095064A"/>
    <w:rsid w:val="00952E8E"/>
    <w:rsid w:val="0095795D"/>
    <w:rsid w:val="009716E4"/>
    <w:rsid w:val="00972203"/>
    <w:rsid w:val="00991044"/>
    <w:rsid w:val="009919C4"/>
    <w:rsid w:val="00992E8F"/>
    <w:rsid w:val="00995AAF"/>
    <w:rsid w:val="009A4E8D"/>
    <w:rsid w:val="009A684F"/>
    <w:rsid w:val="009B4300"/>
    <w:rsid w:val="009C2774"/>
    <w:rsid w:val="009D6189"/>
    <w:rsid w:val="009E7455"/>
    <w:rsid w:val="00A11192"/>
    <w:rsid w:val="00A117E6"/>
    <w:rsid w:val="00A2534A"/>
    <w:rsid w:val="00A30AE5"/>
    <w:rsid w:val="00A30DD9"/>
    <w:rsid w:val="00A42C9D"/>
    <w:rsid w:val="00A46CA9"/>
    <w:rsid w:val="00A5135F"/>
    <w:rsid w:val="00A545F1"/>
    <w:rsid w:val="00A66D98"/>
    <w:rsid w:val="00A75BC3"/>
    <w:rsid w:val="00A764D1"/>
    <w:rsid w:val="00A95C7C"/>
    <w:rsid w:val="00AB4A67"/>
    <w:rsid w:val="00AB4BDE"/>
    <w:rsid w:val="00AB4E1D"/>
    <w:rsid w:val="00AC2674"/>
    <w:rsid w:val="00AC3CFB"/>
    <w:rsid w:val="00AD1320"/>
    <w:rsid w:val="00AD31AA"/>
    <w:rsid w:val="00AD7F4E"/>
    <w:rsid w:val="00AE3409"/>
    <w:rsid w:val="00AF1E29"/>
    <w:rsid w:val="00B029AD"/>
    <w:rsid w:val="00B030FE"/>
    <w:rsid w:val="00B0777C"/>
    <w:rsid w:val="00B105B4"/>
    <w:rsid w:val="00B117B9"/>
    <w:rsid w:val="00B11A60"/>
    <w:rsid w:val="00B22613"/>
    <w:rsid w:val="00B263A4"/>
    <w:rsid w:val="00B4233D"/>
    <w:rsid w:val="00B44DA9"/>
    <w:rsid w:val="00B5464F"/>
    <w:rsid w:val="00B60779"/>
    <w:rsid w:val="00B67357"/>
    <w:rsid w:val="00B67750"/>
    <w:rsid w:val="00B84803"/>
    <w:rsid w:val="00B92DC9"/>
    <w:rsid w:val="00BA1025"/>
    <w:rsid w:val="00BA3F4E"/>
    <w:rsid w:val="00BB654D"/>
    <w:rsid w:val="00BC3420"/>
    <w:rsid w:val="00BC7D88"/>
    <w:rsid w:val="00BD6910"/>
    <w:rsid w:val="00BD793D"/>
    <w:rsid w:val="00BE63F9"/>
    <w:rsid w:val="00BE7D3C"/>
    <w:rsid w:val="00BF13C4"/>
    <w:rsid w:val="00BF1663"/>
    <w:rsid w:val="00BF5FF6"/>
    <w:rsid w:val="00C01E24"/>
    <w:rsid w:val="00C0207F"/>
    <w:rsid w:val="00C1270E"/>
    <w:rsid w:val="00C16117"/>
    <w:rsid w:val="00C237F0"/>
    <w:rsid w:val="00C27FAB"/>
    <w:rsid w:val="00C402F5"/>
    <w:rsid w:val="00C41F00"/>
    <w:rsid w:val="00C5623A"/>
    <w:rsid w:val="00C579D5"/>
    <w:rsid w:val="00C62FCF"/>
    <w:rsid w:val="00C74B51"/>
    <w:rsid w:val="00C82CC9"/>
    <w:rsid w:val="00C919A4"/>
    <w:rsid w:val="00C943E2"/>
    <w:rsid w:val="00CA1D54"/>
    <w:rsid w:val="00CC393F"/>
    <w:rsid w:val="00CD29EA"/>
    <w:rsid w:val="00CD5BC1"/>
    <w:rsid w:val="00CE7484"/>
    <w:rsid w:val="00CF1227"/>
    <w:rsid w:val="00D02636"/>
    <w:rsid w:val="00D16E14"/>
    <w:rsid w:val="00D231BD"/>
    <w:rsid w:val="00D235B5"/>
    <w:rsid w:val="00D54177"/>
    <w:rsid w:val="00D632BE"/>
    <w:rsid w:val="00D7536F"/>
    <w:rsid w:val="00D775F3"/>
    <w:rsid w:val="00D77E87"/>
    <w:rsid w:val="00D848E1"/>
    <w:rsid w:val="00D867C5"/>
    <w:rsid w:val="00D9391D"/>
    <w:rsid w:val="00D948CB"/>
    <w:rsid w:val="00DA5257"/>
    <w:rsid w:val="00DB1483"/>
    <w:rsid w:val="00DB188A"/>
    <w:rsid w:val="00DC36EE"/>
    <w:rsid w:val="00DC781E"/>
    <w:rsid w:val="00DD2357"/>
    <w:rsid w:val="00DD3A20"/>
    <w:rsid w:val="00DE3B1A"/>
    <w:rsid w:val="00DE5440"/>
    <w:rsid w:val="00DE60B4"/>
    <w:rsid w:val="00DF4DC0"/>
    <w:rsid w:val="00E054DC"/>
    <w:rsid w:val="00E14B61"/>
    <w:rsid w:val="00E21A18"/>
    <w:rsid w:val="00E238ED"/>
    <w:rsid w:val="00E300E5"/>
    <w:rsid w:val="00E32DF2"/>
    <w:rsid w:val="00E36F1E"/>
    <w:rsid w:val="00E37202"/>
    <w:rsid w:val="00E40F8E"/>
    <w:rsid w:val="00E4311E"/>
    <w:rsid w:val="00E479FD"/>
    <w:rsid w:val="00E50249"/>
    <w:rsid w:val="00E52F19"/>
    <w:rsid w:val="00E61E12"/>
    <w:rsid w:val="00E7596C"/>
    <w:rsid w:val="00E80366"/>
    <w:rsid w:val="00E878F2"/>
    <w:rsid w:val="00E90DF8"/>
    <w:rsid w:val="00E9110F"/>
    <w:rsid w:val="00E91843"/>
    <w:rsid w:val="00E931E6"/>
    <w:rsid w:val="00E932FD"/>
    <w:rsid w:val="00E95DDF"/>
    <w:rsid w:val="00EC02AF"/>
    <w:rsid w:val="00EC3B56"/>
    <w:rsid w:val="00ED002E"/>
    <w:rsid w:val="00ED0149"/>
    <w:rsid w:val="00ED6154"/>
    <w:rsid w:val="00ED6370"/>
    <w:rsid w:val="00ED7545"/>
    <w:rsid w:val="00EE4CA1"/>
    <w:rsid w:val="00EF2BB8"/>
    <w:rsid w:val="00EF3BD7"/>
    <w:rsid w:val="00EF3F0C"/>
    <w:rsid w:val="00F03103"/>
    <w:rsid w:val="00F03E9A"/>
    <w:rsid w:val="00F045EF"/>
    <w:rsid w:val="00F127DE"/>
    <w:rsid w:val="00F16C1E"/>
    <w:rsid w:val="00F22ED5"/>
    <w:rsid w:val="00F271DE"/>
    <w:rsid w:val="00F466F1"/>
    <w:rsid w:val="00F5058A"/>
    <w:rsid w:val="00F53087"/>
    <w:rsid w:val="00F546E5"/>
    <w:rsid w:val="00F55019"/>
    <w:rsid w:val="00F61BD1"/>
    <w:rsid w:val="00F627DA"/>
    <w:rsid w:val="00F7288F"/>
    <w:rsid w:val="00F75302"/>
    <w:rsid w:val="00F84163"/>
    <w:rsid w:val="00F92B24"/>
    <w:rsid w:val="00F93DA3"/>
    <w:rsid w:val="00F9441B"/>
    <w:rsid w:val="00FA4C32"/>
    <w:rsid w:val="00FA78BC"/>
    <w:rsid w:val="00FB1018"/>
    <w:rsid w:val="00FB348A"/>
    <w:rsid w:val="00FC1A93"/>
    <w:rsid w:val="00FD2061"/>
    <w:rsid w:val="00FD420C"/>
    <w:rsid w:val="00FE5308"/>
    <w:rsid w:val="00FE7114"/>
    <w:rsid w:val="00FF1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70ABB2-D25F-48E4-BE4B-4DAFC249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Char"/>
    <w:rsid w:val="00E7596C"/>
    <w:pPr>
      <w:tabs>
        <w:tab w:val="left" w:pos="288"/>
      </w:tabs>
      <w:spacing w:after="120" w:line="228" w:lineRule="auto"/>
      <w:ind w:firstLine="288"/>
      <w:jc w:val="both"/>
    </w:pPr>
    <w:rPr>
      <w:spacing w:val="-1"/>
      <w:lang w:val="x-none" w:eastAsia="x-none"/>
    </w:rPr>
  </w:style>
  <w:style w:type="character" w:customStyle="1" w:styleId="Char">
    <w:name w:val="正文文本 Char"/>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customStyle="1" w:styleId="keyword">
    <w:name w:val="keyword"/>
    <w:basedOn w:val="a0"/>
    <w:rsid w:val="00373091"/>
  </w:style>
  <w:style w:type="paragraph" w:styleId="a4">
    <w:name w:val="Balloon Text"/>
    <w:basedOn w:val="a"/>
    <w:link w:val="Char0"/>
    <w:rsid w:val="00605DF2"/>
    <w:rPr>
      <w:sz w:val="18"/>
      <w:szCs w:val="18"/>
    </w:rPr>
  </w:style>
  <w:style w:type="character" w:customStyle="1" w:styleId="Char0">
    <w:name w:val="批注框文本 Char"/>
    <w:link w:val="a4"/>
    <w:rsid w:val="00605DF2"/>
    <w:rPr>
      <w:sz w:val="18"/>
      <w:szCs w:val="18"/>
      <w:lang w:eastAsia="en-US"/>
    </w:rPr>
  </w:style>
  <w:style w:type="paragraph" w:styleId="a5">
    <w:name w:val="header"/>
    <w:basedOn w:val="a"/>
    <w:link w:val="Char1"/>
    <w:rsid w:val="00480653"/>
    <w:pPr>
      <w:pBdr>
        <w:bottom w:val="single" w:sz="6" w:space="1" w:color="auto"/>
      </w:pBdr>
      <w:tabs>
        <w:tab w:val="center" w:pos="4153"/>
        <w:tab w:val="right" w:pos="8306"/>
      </w:tabs>
      <w:snapToGrid w:val="0"/>
    </w:pPr>
    <w:rPr>
      <w:sz w:val="18"/>
      <w:szCs w:val="18"/>
    </w:rPr>
  </w:style>
  <w:style w:type="character" w:customStyle="1" w:styleId="Char1">
    <w:name w:val="页眉 Char"/>
    <w:link w:val="a5"/>
    <w:rsid w:val="00480653"/>
    <w:rPr>
      <w:sz w:val="18"/>
      <w:szCs w:val="18"/>
      <w:lang w:eastAsia="en-US"/>
    </w:rPr>
  </w:style>
  <w:style w:type="paragraph" w:styleId="a6">
    <w:name w:val="footer"/>
    <w:basedOn w:val="a"/>
    <w:link w:val="Char2"/>
    <w:rsid w:val="00480653"/>
    <w:pPr>
      <w:tabs>
        <w:tab w:val="center" w:pos="4153"/>
        <w:tab w:val="right" w:pos="8306"/>
      </w:tabs>
      <w:snapToGrid w:val="0"/>
      <w:jc w:val="left"/>
    </w:pPr>
    <w:rPr>
      <w:sz w:val="18"/>
      <w:szCs w:val="18"/>
    </w:rPr>
  </w:style>
  <w:style w:type="character" w:customStyle="1" w:styleId="Char2">
    <w:name w:val="页脚 Char"/>
    <w:link w:val="a6"/>
    <w:rsid w:val="00480653"/>
    <w:rPr>
      <w:sz w:val="18"/>
      <w:szCs w:val="18"/>
      <w:lang w:eastAsia="en-US"/>
    </w:rPr>
  </w:style>
  <w:style w:type="character" w:styleId="a7">
    <w:name w:val="Hyperlink"/>
    <w:uiPriority w:val="99"/>
    <w:unhideWhenUsed/>
    <w:rsid w:val="00AD31AA"/>
    <w:rPr>
      <w:color w:val="0000FF"/>
      <w:u w:val="single"/>
    </w:rPr>
  </w:style>
  <w:style w:type="table" w:styleId="a8">
    <w:name w:val="Table Grid"/>
    <w:aliases w:val="上对齐,网格型-gkhy"/>
    <w:basedOn w:val="a1"/>
    <w:uiPriority w:val="59"/>
    <w:rsid w:val="003813EB"/>
    <w:pPr>
      <w:jc w:val="center"/>
    </w:pPr>
    <w:rPr>
      <w:rFonts w:ascii="Calibri" w:hAnsi="Calibri"/>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keepNext/>
        <w:wordWrap/>
        <w:jc w:val="center"/>
      </w:pPr>
      <w:rPr>
        <w:rFonts w:eastAsia="New York"/>
        <w:b/>
        <w:sz w:val="21"/>
      </w:rPr>
      <w:tblPr/>
      <w:trPr>
        <w:tblHeader/>
      </w:trPr>
    </w:tblStylePr>
  </w:style>
  <w:style w:type="paragraph" w:styleId="a9">
    <w:name w:val="Normal (Web)"/>
    <w:basedOn w:val="a"/>
    <w:uiPriority w:val="99"/>
    <w:unhideWhenUsed/>
    <w:rsid w:val="00D775F3"/>
    <w:pPr>
      <w:jc w:val="left"/>
    </w:pPr>
    <w:rPr>
      <w:rFonts w:ascii="宋体" w:hAnsi="宋体" w:cs="宋体"/>
      <w:sz w:val="24"/>
      <w:szCs w:val="24"/>
      <w:lang w:eastAsia="zh-CN"/>
    </w:rPr>
  </w:style>
  <w:style w:type="paragraph" w:customStyle="1" w:styleId="-11">
    <w:name w:val="彩色列表 - 着色 11"/>
    <w:basedOn w:val="a"/>
    <w:uiPriority w:val="34"/>
    <w:qFormat/>
    <w:rsid w:val="00DD2357"/>
    <w:pPr>
      <w:ind w:firstLineChars="200" w:firstLine="420"/>
    </w:pPr>
  </w:style>
  <w:style w:type="paragraph" w:styleId="aa">
    <w:name w:val="caption"/>
    <w:basedOn w:val="a"/>
    <w:next w:val="a"/>
    <w:qFormat/>
    <w:rsid w:val="0058449D"/>
    <w:rPr>
      <w:rFonts w:ascii="Cambria" w:eastAsia="黑体" w:hAnsi="Cambria"/>
    </w:rPr>
  </w:style>
  <w:style w:type="paragraph" w:styleId="ab">
    <w:name w:val="footnote text"/>
    <w:basedOn w:val="a"/>
    <w:link w:val="Char3"/>
    <w:rsid w:val="0058449D"/>
    <w:pPr>
      <w:snapToGrid w:val="0"/>
      <w:jc w:val="left"/>
    </w:pPr>
    <w:rPr>
      <w:sz w:val="18"/>
      <w:szCs w:val="18"/>
    </w:rPr>
  </w:style>
  <w:style w:type="character" w:customStyle="1" w:styleId="Char3">
    <w:name w:val="脚注文本 Char"/>
    <w:link w:val="ab"/>
    <w:rsid w:val="0058449D"/>
    <w:rPr>
      <w:sz w:val="18"/>
      <w:szCs w:val="18"/>
      <w:lang w:eastAsia="en-US"/>
    </w:rPr>
  </w:style>
  <w:style w:type="character" w:styleId="ac">
    <w:name w:val="footnote reference"/>
    <w:rsid w:val="0058449D"/>
    <w:rPr>
      <w:vertAlign w:val="superscript"/>
    </w:rPr>
  </w:style>
  <w:style w:type="character" w:customStyle="1" w:styleId="apple-converted-space">
    <w:name w:val="apple-converted-space"/>
    <w:rsid w:val="003A0F91"/>
  </w:style>
  <w:style w:type="character" w:styleId="ad">
    <w:name w:val="Emphasis"/>
    <w:uiPriority w:val="20"/>
    <w:qFormat/>
    <w:rsid w:val="003A0F91"/>
    <w:rPr>
      <w:i/>
      <w:iCs/>
    </w:rPr>
  </w:style>
  <w:style w:type="character" w:styleId="ae">
    <w:name w:val="annotation reference"/>
    <w:rsid w:val="00A11192"/>
    <w:rPr>
      <w:sz w:val="21"/>
      <w:szCs w:val="21"/>
    </w:rPr>
  </w:style>
  <w:style w:type="paragraph" w:styleId="af">
    <w:name w:val="annotation text"/>
    <w:basedOn w:val="a"/>
    <w:link w:val="Char4"/>
    <w:rsid w:val="00A11192"/>
    <w:pPr>
      <w:jc w:val="left"/>
    </w:pPr>
  </w:style>
  <w:style w:type="character" w:customStyle="1" w:styleId="Char4">
    <w:name w:val="批注文字 Char"/>
    <w:link w:val="af"/>
    <w:rsid w:val="00A11192"/>
    <w:rPr>
      <w:lang w:eastAsia="en-US"/>
    </w:rPr>
  </w:style>
  <w:style w:type="paragraph" w:styleId="af0">
    <w:name w:val="annotation subject"/>
    <w:basedOn w:val="af"/>
    <w:next w:val="af"/>
    <w:link w:val="Char5"/>
    <w:rsid w:val="00A11192"/>
    <w:rPr>
      <w:b/>
      <w:bCs/>
    </w:rPr>
  </w:style>
  <w:style w:type="character" w:customStyle="1" w:styleId="Char5">
    <w:name w:val="批注主题 Char"/>
    <w:link w:val="af0"/>
    <w:rsid w:val="00A11192"/>
    <w:rPr>
      <w:b/>
      <w:bCs/>
      <w:lang w:eastAsia="en-US"/>
    </w:rPr>
  </w:style>
  <w:style w:type="paragraph" w:customStyle="1" w:styleId="ref">
    <w:name w:val="ref"/>
    <w:basedOn w:val="a"/>
    <w:next w:val="a"/>
    <w:autoRedefine/>
    <w:qFormat/>
    <w:rsid w:val="00FF1B37"/>
    <w:pPr>
      <w:widowControl w:val="0"/>
      <w:spacing w:line="400" w:lineRule="exact"/>
      <w:jc w:val="both"/>
    </w:pPr>
    <w:rPr>
      <w:rFonts w:ascii="TimesNewRomanPSMT" w:hAnsi="TimesNewRomanPSMT" w:cs="TimesNewRomanPSMT"/>
      <w:sz w:val="21"/>
      <w:szCs w:val="21"/>
      <w:lang w:eastAsia="zh-CN"/>
    </w:rPr>
  </w:style>
  <w:style w:type="paragraph" w:styleId="af1">
    <w:name w:val="endnote text"/>
    <w:basedOn w:val="a"/>
    <w:link w:val="Char6"/>
    <w:rsid w:val="00AC3CFB"/>
    <w:pPr>
      <w:snapToGrid w:val="0"/>
      <w:jc w:val="left"/>
    </w:pPr>
  </w:style>
  <w:style w:type="character" w:customStyle="1" w:styleId="Char6">
    <w:name w:val="尾注文本 Char"/>
    <w:basedOn w:val="a0"/>
    <w:link w:val="af1"/>
    <w:rsid w:val="00AC3CFB"/>
    <w:rPr>
      <w:lang w:eastAsia="en-US"/>
    </w:rPr>
  </w:style>
  <w:style w:type="character" w:styleId="af2">
    <w:name w:val="endnote reference"/>
    <w:basedOn w:val="a0"/>
    <w:rsid w:val="00AC3CFB"/>
    <w:rPr>
      <w:vertAlign w:val="superscript"/>
    </w:rPr>
  </w:style>
  <w:style w:type="paragraph" w:styleId="af3">
    <w:name w:val="Title"/>
    <w:basedOn w:val="a"/>
    <w:next w:val="a"/>
    <w:link w:val="Char7"/>
    <w:qFormat/>
    <w:rsid w:val="00772414"/>
    <w:pPr>
      <w:spacing w:before="240" w:after="60"/>
      <w:outlineLvl w:val="0"/>
    </w:pPr>
    <w:rPr>
      <w:rFonts w:asciiTheme="majorHAnsi" w:hAnsiTheme="majorHAnsi" w:cstheme="majorBidi"/>
      <w:b/>
      <w:bCs/>
      <w:sz w:val="32"/>
      <w:szCs w:val="32"/>
    </w:rPr>
  </w:style>
  <w:style w:type="character" w:customStyle="1" w:styleId="Char7">
    <w:name w:val="标题 Char"/>
    <w:basedOn w:val="a0"/>
    <w:link w:val="af3"/>
    <w:rsid w:val="00772414"/>
    <w:rPr>
      <w:rFonts w:asciiTheme="majorHAnsi" w:hAnsiTheme="majorHAnsi" w:cstheme="majorBidi"/>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E494C-56CA-44CB-856B-8C6BE1F24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Pages>
  <Words>515</Words>
  <Characters>2940</Characters>
  <Application>Microsoft Office Word</Application>
  <DocSecurity>0</DocSecurity>
  <Lines>24</Lines>
  <Paragraphs>6</Paragraphs>
  <ScaleCrop>false</ScaleCrop>
  <Company>IEEE</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王宇</cp:lastModifiedBy>
  <cp:revision>7</cp:revision>
  <cp:lastPrinted>2014-02-24T08:28:00Z</cp:lastPrinted>
  <dcterms:created xsi:type="dcterms:W3CDTF">2018-01-12T14:36:00Z</dcterms:created>
  <dcterms:modified xsi:type="dcterms:W3CDTF">2018-01-14T14:19:00Z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1617f995-492d-3972-bbb4-7185d33ab2e5</vt:lpwstr>
  </property>
  <property fmtid="{D5CDD505-2E9C-101B-9397-08002B2CF9AE}" pid="24" name="Mendeley Citation Style_1">
    <vt:lpwstr>http://www.zotero.org/styles/apa</vt:lpwstr>
  </property>
</Properties>
</file>