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FD62" w14:textId="77777777" w:rsidR="00FA6F78" w:rsidRPr="00FA6F78" w:rsidRDefault="00FA6F78" w:rsidP="00FA6F7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A6F78">
        <w:rPr>
          <w:rFonts w:ascii="Times New Roman" w:eastAsia="Times New Roman" w:hAnsi="Times New Roman" w:cs="Times New Roman"/>
          <w:b/>
          <w:bCs/>
          <w:kern w:val="36"/>
          <w:sz w:val="48"/>
          <w:szCs w:val="48"/>
          <w14:ligatures w14:val="none"/>
        </w:rPr>
        <w:t>Comprehensive User's Manual: NTCA Retirement &amp; Security Program</w:t>
      </w:r>
    </w:p>
    <w:p w14:paraId="207286E6" w14:textId="04FC01D0"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 xml:space="preserve">Version 1.2 – October 30, </w:t>
      </w:r>
      <w:proofErr w:type="gramStart"/>
      <w:r w:rsidRPr="00FA6F78">
        <w:rPr>
          <w:rFonts w:ascii="Times New Roman" w:eastAsia="Times New Roman" w:hAnsi="Times New Roman" w:cs="Times New Roman"/>
          <w:b/>
          <w:bCs/>
          <w:kern w:val="0"/>
          <w14:ligatures w14:val="none"/>
        </w:rPr>
        <w:t>2025</w:t>
      </w:r>
      <w:proofErr w:type="gramEnd"/>
      <w:r w:rsidRPr="00FA6F78">
        <w:rPr>
          <w:rFonts w:ascii="Times New Roman" w:eastAsia="Times New Roman" w:hAnsi="Times New Roman" w:cs="Times New Roman"/>
          <w:kern w:val="0"/>
          <w14:ligatures w14:val="none"/>
        </w:rPr>
        <w:t xml:space="preserve"> </w:t>
      </w:r>
      <w:r w:rsidRPr="00FA6F78">
        <w:rPr>
          <w:rFonts w:ascii="Times New Roman" w:eastAsia="Times New Roman" w:hAnsi="Times New Roman" w:cs="Times New Roman"/>
          <w:b/>
          <w:bCs/>
          <w:kern w:val="0"/>
          <w14:ligatures w14:val="none"/>
        </w:rPr>
        <w:t xml:space="preserve">Prepared by </w:t>
      </w:r>
      <w:r>
        <w:rPr>
          <w:rFonts w:ascii="Times New Roman" w:eastAsia="Times New Roman" w:hAnsi="Times New Roman" w:cs="Times New Roman"/>
          <w:b/>
          <w:bCs/>
          <w:kern w:val="0"/>
          <w14:ligatures w14:val="none"/>
        </w:rPr>
        <w:t xml:space="preserve">Tom </w:t>
      </w:r>
      <w:proofErr w:type="spellStart"/>
      <w:r>
        <w:rPr>
          <w:rFonts w:ascii="Times New Roman" w:eastAsia="Times New Roman" w:hAnsi="Times New Roman" w:cs="Times New Roman"/>
          <w:b/>
          <w:bCs/>
          <w:kern w:val="0"/>
          <w14:ligatures w14:val="none"/>
        </w:rPr>
        <w:t>harvey</w:t>
      </w:r>
      <w:proofErr w:type="spellEnd"/>
      <w:r w:rsidRPr="00FA6F78">
        <w:rPr>
          <w:rFonts w:ascii="Times New Roman" w:eastAsia="Times New Roman" w:hAnsi="Times New Roman" w:cs="Times New Roman"/>
          <w:b/>
          <w:bCs/>
          <w:kern w:val="0"/>
          <w14:ligatures w14:val="none"/>
        </w:rPr>
        <w:t>, based on NTCA plan documents, IRS regulations, and public sources</w:t>
      </w:r>
    </w:p>
    <w:p w14:paraId="64ADE76A"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 xml:space="preserve">This manual is designed to transform you into an expert on the NTCA Retirement &amp; Security (R&amp;S) Program, a defined benefit pension plan for employees of NTCA members (rural broadband cooperatives). By mastering this guide, you'll understand the intricacies of benefit accrual, annuity options, lump sum calculations (including precise math for IRS segment rates), Rule of 85, interest rate impacts, and </w:t>
      </w:r>
      <w:proofErr w:type="gramStart"/>
      <w:r w:rsidRPr="00FA6F78">
        <w:rPr>
          <w:rFonts w:ascii="Times New Roman" w:eastAsia="Times New Roman" w:hAnsi="Times New Roman" w:cs="Times New Roman"/>
          <w:kern w:val="0"/>
          <w14:ligatures w14:val="none"/>
        </w:rPr>
        <w:t>more—putting</w:t>
      </w:r>
      <w:proofErr w:type="gramEnd"/>
      <w:r w:rsidRPr="00FA6F78">
        <w:rPr>
          <w:rFonts w:ascii="Times New Roman" w:eastAsia="Times New Roman" w:hAnsi="Times New Roman" w:cs="Times New Roman"/>
          <w:kern w:val="0"/>
          <w14:ligatures w14:val="none"/>
        </w:rPr>
        <w:t xml:space="preserve"> you in the top 1% of knowledgeable participants. All information is verified from official sources, with citations for self-verification. Examples use hypothetical figures (e.g., $100,000 High-5 compensation, 25 years of service, 1.9% benefit rate, age 60 retirement) to illustrate concepts without personal data.</w:t>
      </w:r>
    </w:p>
    <w:p w14:paraId="7E93C0BE"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New Addition in Version 1.2</w:t>
      </w:r>
      <w:r w:rsidRPr="00FA6F78">
        <w:rPr>
          <w:rFonts w:ascii="Times New Roman" w:eastAsia="Times New Roman" w:hAnsi="Times New Roman" w:cs="Times New Roman"/>
          <w:kern w:val="0"/>
          <w14:ligatures w14:val="none"/>
        </w:rPr>
        <w:t>: NTCA assumes that if a participant works through January, they will “buy out” their service credit for the entire calendar year. This means that by continuing employment into January, you receive full-year service credit for that year, even if you terminate later in the year. This rule can accelerate eligibility for milestones like Rule of 85 or maximize accruals. (Source: Participant-reported plan practice; confirm with NTCA Benefits team, as it's not explicitly detailed in public SPD or Specifications but aligns with compensation reporting rules in the Member Reference Guide, where full-year periods start January 1 for active participants.)</w:t>
      </w:r>
    </w:p>
    <w:p w14:paraId="0556472B"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Disclaimer</w:t>
      </w:r>
      <w:r w:rsidRPr="00FA6F78">
        <w:rPr>
          <w:rFonts w:ascii="Times New Roman" w:eastAsia="Times New Roman" w:hAnsi="Times New Roman" w:cs="Times New Roman"/>
          <w:kern w:val="0"/>
          <w14:ligatures w14:val="none"/>
        </w:rPr>
        <w:t xml:space="preserve">: This is educational and not financial advice. Always consult NTCA (828-252-9776 or </w:t>
      </w:r>
      <w:hyperlink r:id="rId5" w:tgtFrame="_blank" w:history="1">
        <w:r w:rsidRPr="00FA6F78">
          <w:rPr>
            <w:rFonts w:ascii="Times New Roman" w:eastAsia="Times New Roman" w:hAnsi="Times New Roman" w:cs="Times New Roman"/>
            <w:color w:val="0000FF"/>
            <w:kern w:val="0"/>
            <w:u w:val="single"/>
            <w14:ligatures w14:val="none"/>
          </w:rPr>
          <w:t>benefits@ntca.org</w:t>
        </w:r>
      </w:hyperlink>
      <w:r w:rsidRPr="00FA6F78">
        <w:rPr>
          <w:rFonts w:ascii="Times New Roman" w:eastAsia="Times New Roman" w:hAnsi="Times New Roman" w:cs="Times New Roman"/>
          <w:kern w:val="0"/>
          <w14:ligatures w14:val="none"/>
        </w:rPr>
        <w:t>) or a fiduciary advisor for personalized calculations. Estimates may vary due to individual factors or plan updates.</w:t>
      </w:r>
    </w:p>
    <w:p w14:paraId="59F4DFC3"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t>Section 1: Program Overview</w:t>
      </w:r>
    </w:p>
    <w:p w14:paraId="22391CF3"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The NTCA R&amp;S Program is a Cooperative and Small Employer Charity (CSEC) defined benefit pension plan under IRS rules, sponsored by NTCA–The Rural Broadband Association. It's funded by employer contributions (</w:t>
      </w:r>
      <w:proofErr w:type="gramStart"/>
      <w:r w:rsidRPr="00FA6F78">
        <w:rPr>
          <w:rFonts w:ascii="Times New Roman" w:eastAsia="Times New Roman" w:hAnsi="Times New Roman" w:cs="Times New Roman"/>
          <w:kern w:val="0"/>
          <w14:ligatures w14:val="none"/>
        </w:rPr>
        <w:t>no</w:t>
      </w:r>
      <w:proofErr w:type="gramEnd"/>
      <w:r w:rsidRPr="00FA6F78">
        <w:rPr>
          <w:rFonts w:ascii="Times New Roman" w:eastAsia="Times New Roman" w:hAnsi="Times New Roman" w:cs="Times New Roman"/>
          <w:kern w:val="0"/>
          <w14:ligatures w14:val="none"/>
        </w:rPr>
        <w:t xml:space="preserve"> employee contributions required) and provides lifetime annuities or lump sums based on your service and compensation.</w:t>
      </w:r>
    </w:p>
    <w:p w14:paraId="04185958" w14:textId="77777777" w:rsidR="00FA6F78" w:rsidRPr="00FA6F78" w:rsidRDefault="00FA6F78" w:rsidP="00FA6F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Key Features</w:t>
      </w:r>
      <w:r w:rsidRPr="00FA6F78">
        <w:rPr>
          <w:rFonts w:ascii="Times New Roman" w:eastAsia="Times New Roman" w:hAnsi="Times New Roman" w:cs="Times New Roman"/>
          <w:kern w:val="0"/>
          <w14:ligatures w14:val="none"/>
        </w:rPr>
        <w:t xml:space="preserve"> (from 2025 Summary Plan Description [SPD] and Specifications): </w:t>
      </w:r>
    </w:p>
    <w:p w14:paraId="352827E3" w14:textId="77777777" w:rsidR="00FA6F78" w:rsidRPr="00FA6F78" w:rsidRDefault="00FA6F78" w:rsidP="00FA6F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Normal Retirement Age (NRA): 65.</w:t>
      </w:r>
    </w:p>
    <w:p w14:paraId="608EFBAA" w14:textId="77777777" w:rsidR="00FA6F78" w:rsidRPr="00FA6F78" w:rsidRDefault="00FA6F78" w:rsidP="00FA6F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Vesting: 5 years of participation.</w:t>
      </w:r>
    </w:p>
    <w:p w14:paraId="68599E8B" w14:textId="77777777" w:rsidR="00FA6F78" w:rsidRPr="00FA6F78" w:rsidRDefault="00FA6F78" w:rsidP="00FA6F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Benefit Formula: Employer-elected rate (e.g., 1.9%) × High-5 Compensation × Years of Participation.</w:t>
      </w:r>
    </w:p>
    <w:p w14:paraId="51242904" w14:textId="77777777" w:rsidR="00FA6F78" w:rsidRPr="00FA6F78" w:rsidRDefault="00FA6F78" w:rsidP="00FA6F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Funding Status: 86.51% funded as of 12/31/2024 (from 2024 Annual Funding Notice, page 1), using 7.50% interest rate for liabilities.</w:t>
      </w:r>
    </w:p>
    <w:p w14:paraId="73465538" w14:textId="77777777" w:rsidR="00FA6F78" w:rsidRPr="00FA6F78" w:rsidRDefault="00FA6F78" w:rsidP="00FA6F78">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PBGC Guarantee: Up to ~$7,431/month at age 65 (2025 max; adjusted annually).</w:t>
      </w:r>
    </w:p>
    <w:p w14:paraId="6C402C38" w14:textId="77777777" w:rsidR="00FA6F78" w:rsidRPr="00FA6F78" w:rsidRDefault="00FA6F78" w:rsidP="00FA6F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lastRenderedPageBreak/>
        <w:t>CSEC-Specific Rules</w:t>
      </w:r>
      <w:r w:rsidRPr="00FA6F78">
        <w:rPr>
          <w:rFonts w:ascii="Times New Roman" w:eastAsia="Times New Roman" w:hAnsi="Times New Roman" w:cs="Times New Roman"/>
          <w:kern w:val="0"/>
          <w14:ligatures w14:val="none"/>
        </w:rPr>
        <w:t>: As a CSEC plan, funding uses a fixed 7.50% rate (not segment rates), but lump sums follow standard §417(e) rules (segment rates and mortality).</w:t>
      </w:r>
    </w:p>
    <w:p w14:paraId="74ED4951"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Math Insight</w:t>
      </w:r>
      <w:r w:rsidRPr="00FA6F78">
        <w:rPr>
          <w:rFonts w:ascii="Times New Roman" w:eastAsia="Times New Roman" w:hAnsi="Times New Roman" w:cs="Times New Roman"/>
          <w:kern w:val="0"/>
          <w14:ligatures w14:val="none"/>
        </w:rPr>
        <w:t xml:space="preserve">: The program's actuarial value of liabilities was $2,369,764,258 in 2024, calculated as PV = ∑ [Expected </w:t>
      </w:r>
      <w:proofErr w:type="spellStart"/>
      <w:r w:rsidRPr="00FA6F78">
        <w:rPr>
          <w:rFonts w:ascii="Times New Roman" w:eastAsia="Times New Roman" w:hAnsi="Times New Roman" w:cs="Times New Roman"/>
          <w:kern w:val="0"/>
          <w14:ligatures w14:val="none"/>
        </w:rPr>
        <w:t>Benefits_t</w:t>
      </w:r>
      <w:proofErr w:type="spellEnd"/>
      <w:r w:rsidRPr="00FA6F78">
        <w:rPr>
          <w:rFonts w:ascii="Times New Roman" w:eastAsia="Times New Roman" w:hAnsi="Times New Roman" w:cs="Times New Roman"/>
          <w:kern w:val="0"/>
          <w14:ligatures w14:val="none"/>
        </w:rPr>
        <w:t xml:space="preserve"> / (1 + </w:t>
      </w:r>
      <w:proofErr w:type="gramStart"/>
      <w:r w:rsidRPr="00FA6F78">
        <w:rPr>
          <w:rFonts w:ascii="Times New Roman" w:eastAsia="Times New Roman" w:hAnsi="Times New Roman" w:cs="Times New Roman"/>
          <w:kern w:val="0"/>
          <w14:ligatures w14:val="none"/>
        </w:rPr>
        <w:t>0.075)^</w:t>
      </w:r>
      <w:proofErr w:type="gramEnd"/>
      <w:r w:rsidRPr="00FA6F78">
        <w:rPr>
          <w:rFonts w:ascii="Times New Roman" w:eastAsia="Times New Roman" w:hAnsi="Times New Roman" w:cs="Times New Roman"/>
          <w:kern w:val="0"/>
          <w14:ligatures w14:val="none"/>
        </w:rPr>
        <w:t xml:space="preserve">t], where </w:t>
      </w:r>
      <w:proofErr w:type="spellStart"/>
      <w:r w:rsidRPr="00FA6F78">
        <w:rPr>
          <w:rFonts w:ascii="Times New Roman" w:eastAsia="Times New Roman" w:hAnsi="Times New Roman" w:cs="Times New Roman"/>
          <w:kern w:val="0"/>
          <w14:ligatures w14:val="none"/>
        </w:rPr>
        <w:t>t</w:t>
      </w:r>
      <w:proofErr w:type="spellEnd"/>
      <w:r w:rsidRPr="00FA6F78">
        <w:rPr>
          <w:rFonts w:ascii="Times New Roman" w:eastAsia="Times New Roman" w:hAnsi="Times New Roman" w:cs="Times New Roman"/>
          <w:kern w:val="0"/>
          <w14:ligatures w14:val="none"/>
        </w:rPr>
        <w:t xml:space="preserve"> is years from valuation date (Annual Funding Notice, page 1).</w:t>
      </w:r>
    </w:p>
    <w:p w14:paraId="4E2294B2"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t>Section 2: Eligibility and Participation</w:t>
      </w:r>
    </w:p>
    <w:p w14:paraId="1FAF5CA3" w14:textId="77777777" w:rsidR="00FA6F78" w:rsidRPr="00FA6F78" w:rsidRDefault="00FA6F78" w:rsidP="00FA6F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Eligibility</w:t>
      </w:r>
      <w:r w:rsidRPr="00FA6F78">
        <w:rPr>
          <w:rFonts w:ascii="Times New Roman" w:eastAsia="Times New Roman" w:hAnsi="Times New Roman" w:cs="Times New Roman"/>
          <w:kern w:val="0"/>
          <w14:ligatures w14:val="none"/>
        </w:rPr>
        <w:t>: Employees of participating NTCA members become participants after meeting age/service requirements (typically age 21 and 1 year of service, per SPD Section I, page 5).</w:t>
      </w:r>
    </w:p>
    <w:p w14:paraId="2581A93D" w14:textId="77777777" w:rsidR="00FA6F78" w:rsidRPr="00FA6F78" w:rsidRDefault="00FA6F78" w:rsidP="00FA6F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Participation</w:t>
      </w:r>
      <w:r w:rsidRPr="00FA6F78">
        <w:rPr>
          <w:rFonts w:ascii="Times New Roman" w:eastAsia="Times New Roman" w:hAnsi="Times New Roman" w:cs="Times New Roman"/>
          <w:kern w:val="0"/>
          <w14:ligatures w14:val="none"/>
        </w:rPr>
        <w:t>: Credited for periods with 1,000+ hours/year (if elected). Partial years count as fractions (e.g., 2 months = 0.167 years). If you work through January, you receive full-year service credit for that calendar year ("buy out" rule), accelerating accruals (participant-reported; verify with NTCA).</w:t>
      </w:r>
    </w:p>
    <w:p w14:paraId="7A4662B2" w14:textId="77777777" w:rsidR="00FA6F78" w:rsidRPr="00FA6F78" w:rsidRDefault="00FA6F78" w:rsidP="00FA6F7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Vesting Schedule</w:t>
      </w:r>
      <w:r w:rsidRPr="00FA6F78">
        <w:rPr>
          <w:rFonts w:ascii="Times New Roman" w:eastAsia="Times New Roman" w:hAnsi="Times New Roman" w:cs="Times New Roman"/>
          <w:kern w:val="0"/>
          <w14:ligatures w14:val="none"/>
        </w:rPr>
        <w:t>: 100% vested after 5 years; earlier termination may allow deferred benefits (SPD Section III, page 19).</w:t>
      </w:r>
    </w:p>
    <w:p w14:paraId="79454930"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Expert Tip</w:t>
      </w:r>
      <w:r w:rsidRPr="00FA6F78">
        <w:rPr>
          <w:rFonts w:ascii="Times New Roman" w:eastAsia="Times New Roman" w:hAnsi="Times New Roman" w:cs="Times New Roman"/>
          <w:kern w:val="0"/>
          <w14:ligatures w14:val="none"/>
        </w:rPr>
        <w:t>: Track your "Rule-of-85 Service" separately—it's often the same as participation years but excludes certain leaves (Specifications, inferred from DOCUMENT).</w:t>
      </w:r>
    </w:p>
    <w:p w14:paraId="7215A075"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t>Section 3: Benefit Accrual Formula</w:t>
      </w:r>
    </w:p>
    <w:p w14:paraId="42B9A99B"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Your accrued benefit is calculated annually and frozen upon termination (unless you return, per SPD Section III-2, page 19).</w:t>
      </w:r>
    </w:p>
    <w:p w14:paraId="67AC77F2" w14:textId="77777777" w:rsidR="00FA6F78" w:rsidRPr="00FA6F78" w:rsidRDefault="00FA6F78" w:rsidP="00FA6F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Formula</w:t>
      </w:r>
      <w:r w:rsidRPr="00FA6F78">
        <w:rPr>
          <w:rFonts w:ascii="Times New Roman" w:eastAsia="Times New Roman" w:hAnsi="Times New Roman" w:cs="Times New Roman"/>
          <w:kern w:val="0"/>
          <w14:ligatures w14:val="none"/>
        </w:rPr>
        <w:t xml:space="preserve"> (SPD Section II, page 10): Annual Normal Retirement Benefit (NRB) = Benefit Rate × High-5 Compensation × Years of Participation. </w:t>
      </w:r>
    </w:p>
    <w:p w14:paraId="5E827A8B" w14:textId="77777777" w:rsidR="00FA6F78" w:rsidRPr="00FA6F78" w:rsidRDefault="00FA6F78" w:rsidP="00FA6F7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Benefit Rate: Employer-elected (e.g., 1.9% or 0.019).</w:t>
      </w:r>
    </w:p>
    <w:p w14:paraId="4EA41B75" w14:textId="77777777" w:rsidR="00FA6F78" w:rsidRPr="00FA6F78" w:rsidRDefault="00FA6F78" w:rsidP="00FA6F7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 xml:space="preserve">High-5 Compensation: Average of your 5 highest compensation years in the last 10 plan years (capped at IRS limit, e.g., $345,000 in 2025). </w:t>
      </w:r>
      <w:r w:rsidRPr="00FA6F78">
        <w:rPr>
          <w:rFonts w:ascii="Times New Roman" w:eastAsia="Times New Roman" w:hAnsi="Times New Roman" w:cs="Times New Roman"/>
          <w:b/>
          <w:bCs/>
          <w:kern w:val="0"/>
          <w14:ligatures w14:val="none"/>
        </w:rPr>
        <w:t>Hypothetical Math Example</w:t>
      </w:r>
      <w:r w:rsidRPr="00FA6F78">
        <w:rPr>
          <w:rFonts w:ascii="Times New Roman" w:eastAsia="Times New Roman" w:hAnsi="Times New Roman" w:cs="Times New Roman"/>
          <w:kern w:val="0"/>
          <w14:ligatures w14:val="none"/>
        </w:rPr>
        <w:t>: For $100,000 High-5 and 25 years: NRB = 0.019 × $100,000 × 25 = $47,500/year ($3,958/month unreduced).</w:t>
      </w:r>
    </w:p>
    <w:p w14:paraId="08BE461A" w14:textId="77777777" w:rsidR="00FA6F78" w:rsidRPr="00FA6F78" w:rsidRDefault="00FA6F78" w:rsidP="00FA6F78">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Years of Participation: Full years + fractions (e.g., 25 + 6/12 = 25.5). With the "buy out" rule, working through January grants the full year's credit.</w:t>
      </w:r>
    </w:p>
    <w:p w14:paraId="06940AD2" w14:textId="77777777" w:rsidR="00FA6F78" w:rsidRPr="00FA6F78" w:rsidRDefault="00FA6F78" w:rsidP="00FA6F7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Accruals Conversion</w:t>
      </w:r>
      <w:r w:rsidRPr="00FA6F78">
        <w:rPr>
          <w:rFonts w:ascii="Times New Roman" w:eastAsia="Times New Roman" w:hAnsi="Times New Roman" w:cs="Times New Roman"/>
          <w:kern w:val="0"/>
          <w14:ligatures w14:val="none"/>
        </w:rPr>
        <w:t>: Internally, the rate is converted to "accruals" by dividing by an actuarial factor (e.g., 0.1531): Accrual Rate = 1.9% / 0.1531 ≈ 0.1241. Total benefit = Sum of annual accruals × High-5 (from DOCUMENT Section 1).</w:t>
      </w:r>
    </w:p>
    <w:p w14:paraId="786FD6AE"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Expert Math</w:t>
      </w:r>
      <w:r w:rsidRPr="00FA6F78">
        <w:rPr>
          <w:rFonts w:ascii="Times New Roman" w:eastAsia="Times New Roman" w:hAnsi="Times New Roman" w:cs="Times New Roman"/>
          <w:kern w:val="0"/>
          <w14:ligatures w14:val="none"/>
        </w:rPr>
        <w:t>: If compensation varies, High-5 = (Sum of Top 5 Years) / 5. For projections with 3% annual growth: Future High-5 = Current × (</w:t>
      </w:r>
      <w:proofErr w:type="gramStart"/>
      <w:r w:rsidRPr="00FA6F78">
        <w:rPr>
          <w:rFonts w:ascii="Times New Roman" w:eastAsia="Times New Roman" w:hAnsi="Times New Roman" w:cs="Times New Roman"/>
          <w:kern w:val="0"/>
          <w14:ligatures w14:val="none"/>
        </w:rPr>
        <w:t>1.03)^</w:t>
      </w:r>
      <w:proofErr w:type="gramEnd"/>
      <w:r w:rsidRPr="00FA6F78">
        <w:rPr>
          <w:rFonts w:ascii="Times New Roman" w:eastAsia="Times New Roman" w:hAnsi="Times New Roman" w:cs="Times New Roman"/>
          <w:kern w:val="0"/>
          <w14:ligatures w14:val="none"/>
        </w:rPr>
        <w:t>n. Use code like:</w:t>
      </w:r>
    </w:p>
    <w:p w14:paraId="758BBA7B" w14:textId="77777777" w:rsidR="00FA6F78" w:rsidRPr="00FA6F78" w:rsidRDefault="00FA6F78" w:rsidP="00FA6F78">
      <w:pPr>
        <w:spacing w:after="0"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python</w:t>
      </w:r>
    </w:p>
    <w:p w14:paraId="0C7E08D5" w14:textId="77777777" w:rsidR="00FA6F78" w:rsidRPr="00FA6F78" w:rsidRDefault="00FA6F78" w:rsidP="00FA6F7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002339"/>
          <w:kern w:val="0"/>
          <w:sz w:val="20"/>
          <w:szCs w:val="20"/>
          <w14:ligatures w14:val="none"/>
        </w:rPr>
      </w:pPr>
      <w:r w:rsidRPr="00FA6F78">
        <w:rPr>
          <w:rFonts w:ascii="Courier New" w:eastAsia="Times New Roman" w:hAnsi="Courier New" w:cs="Courier New"/>
          <w:color w:val="002339"/>
          <w:kern w:val="0"/>
          <w:sz w:val="20"/>
          <w:szCs w:val="20"/>
          <w14:ligatures w14:val="none"/>
        </w:rPr>
        <w:t xml:space="preserve">high5 </w:t>
      </w:r>
      <w:r w:rsidRPr="00FA6F78">
        <w:rPr>
          <w:rFonts w:ascii="Courier New" w:eastAsia="Times New Roman" w:hAnsi="Courier New" w:cs="Courier New"/>
          <w:color w:val="7B30D0"/>
          <w:kern w:val="0"/>
          <w:sz w:val="20"/>
          <w:szCs w:val="20"/>
          <w14:ligatures w14:val="none"/>
        </w:rPr>
        <w:t>=</w:t>
      </w:r>
      <w:r w:rsidRPr="00FA6F78">
        <w:rPr>
          <w:rFonts w:ascii="Courier New" w:eastAsia="Times New Roman" w:hAnsi="Courier New" w:cs="Courier New"/>
          <w:color w:val="1AB394"/>
          <w:kern w:val="0"/>
          <w:sz w:val="20"/>
          <w:szCs w:val="20"/>
          <w14:ligatures w14:val="none"/>
        </w:rPr>
        <w:t xml:space="preserve"> </w:t>
      </w:r>
      <w:proofErr w:type="gramStart"/>
      <w:r w:rsidRPr="00FA6F78">
        <w:rPr>
          <w:rFonts w:ascii="Courier New" w:eastAsia="Times New Roman" w:hAnsi="Courier New" w:cs="Courier New"/>
          <w:color w:val="1AB394"/>
          <w:kern w:val="0"/>
          <w:sz w:val="20"/>
          <w:szCs w:val="20"/>
          <w14:ligatures w14:val="none"/>
        </w:rPr>
        <w:t>sum</w:t>
      </w:r>
      <w:r w:rsidRPr="00FA6F78">
        <w:rPr>
          <w:rFonts w:ascii="Courier New" w:eastAsia="Times New Roman" w:hAnsi="Courier New" w:cs="Courier New"/>
          <w:color w:val="002339"/>
          <w:kern w:val="0"/>
          <w:sz w:val="20"/>
          <w:szCs w:val="20"/>
          <w14:ligatures w14:val="none"/>
        </w:rPr>
        <w:t>(</w:t>
      </w:r>
      <w:proofErr w:type="gramEnd"/>
      <w:r w:rsidRPr="00FA6F78">
        <w:rPr>
          <w:rFonts w:ascii="Courier New" w:eastAsia="Times New Roman" w:hAnsi="Courier New" w:cs="Courier New"/>
          <w:color w:val="002339"/>
          <w:kern w:val="0"/>
          <w:sz w:val="20"/>
          <w:szCs w:val="20"/>
          <w14:ligatures w14:val="none"/>
        </w:rPr>
        <w:t>[</w:t>
      </w:r>
      <w:r w:rsidRPr="00FA6F78">
        <w:rPr>
          <w:rFonts w:ascii="Courier New" w:eastAsia="Times New Roman" w:hAnsi="Courier New" w:cs="Courier New"/>
          <w:color w:val="174781"/>
          <w:kern w:val="0"/>
          <w:sz w:val="20"/>
          <w:szCs w:val="20"/>
          <w14:ligatures w14:val="none"/>
        </w:rPr>
        <w:t>100000</w:t>
      </w:r>
      <w:r w:rsidRPr="00FA6F78">
        <w:rPr>
          <w:rFonts w:ascii="Courier New" w:eastAsia="Times New Roman" w:hAnsi="Courier New" w:cs="Courier New"/>
          <w:color w:val="7B30D0"/>
          <w:kern w:val="0"/>
          <w:sz w:val="20"/>
          <w:szCs w:val="20"/>
          <w14:ligatures w14:val="none"/>
        </w:rPr>
        <w:t xml:space="preserve"> *</w:t>
      </w:r>
      <w:r w:rsidRPr="00FA6F78">
        <w:rPr>
          <w:rFonts w:ascii="Courier New" w:eastAsia="Times New Roman" w:hAnsi="Courier New" w:cs="Courier New"/>
          <w:color w:val="002339"/>
          <w:kern w:val="0"/>
          <w:sz w:val="20"/>
          <w:szCs w:val="20"/>
          <w14:ligatures w14:val="none"/>
        </w:rPr>
        <w:t xml:space="preserve"> (</w:t>
      </w:r>
      <w:proofErr w:type="gramStart"/>
      <w:r w:rsidRPr="00FA6F78">
        <w:rPr>
          <w:rFonts w:ascii="Courier New" w:eastAsia="Times New Roman" w:hAnsi="Courier New" w:cs="Courier New"/>
          <w:color w:val="174781"/>
          <w:kern w:val="0"/>
          <w:sz w:val="20"/>
          <w:szCs w:val="20"/>
          <w14:ligatures w14:val="none"/>
        </w:rPr>
        <w:t>1.03</w:t>
      </w:r>
      <w:r w:rsidRPr="00FA6F78">
        <w:rPr>
          <w:rFonts w:ascii="Courier New" w:eastAsia="Times New Roman" w:hAnsi="Courier New" w:cs="Courier New"/>
          <w:color w:val="002339"/>
          <w:kern w:val="0"/>
          <w:sz w:val="20"/>
          <w:szCs w:val="20"/>
          <w14:ligatures w14:val="none"/>
        </w:rPr>
        <w:t>)</w:t>
      </w:r>
      <w:r w:rsidRPr="00FA6F78">
        <w:rPr>
          <w:rFonts w:ascii="Courier New" w:eastAsia="Times New Roman" w:hAnsi="Courier New" w:cs="Courier New"/>
          <w:color w:val="7B30D0"/>
          <w:kern w:val="0"/>
          <w:sz w:val="20"/>
          <w:szCs w:val="20"/>
          <w14:ligatures w14:val="none"/>
        </w:rPr>
        <w:t>*</w:t>
      </w:r>
      <w:proofErr w:type="gramEnd"/>
      <w:r w:rsidRPr="00FA6F78">
        <w:rPr>
          <w:rFonts w:ascii="Courier New" w:eastAsia="Times New Roman" w:hAnsi="Courier New" w:cs="Courier New"/>
          <w:color w:val="7B30D0"/>
          <w:kern w:val="0"/>
          <w:sz w:val="20"/>
          <w:szCs w:val="20"/>
          <w14:ligatures w14:val="none"/>
        </w:rPr>
        <w:t>*</w:t>
      </w:r>
      <w:proofErr w:type="spellStart"/>
      <w:r w:rsidRPr="00FA6F78">
        <w:rPr>
          <w:rFonts w:ascii="Courier New" w:eastAsia="Times New Roman" w:hAnsi="Courier New" w:cs="Courier New"/>
          <w:color w:val="002339"/>
          <w:kern w:val="0"/>
          <w:sz w:val="20"/>
          <w:szCs w:val="20"/>
          <w14:ligatures w14:val="none"/>
        </w:rPr>
        <w:t>i</w:t>
      </w:r>
      <w:proofErr w:type="spellEnd"/>
      <w:r w:rsidRPr="00FA6F78">
        <w:rPr>
          <w:rFonts w:ascii="Courier New" w:eastAsia="Times New Roman" w:hAnsi="Courier New" w:cs="Courier New"/>
          <w:color w:val="002339"/>
          <w:kern w:val="0"/>
          <w:sz w:val="20"/>
          <w:szCs w:val="20"/>
          <w14:ligatures w14:val="none"/>
        </w:rPr>
        <w:t xml:space="preserve"> </w:t>
      </w:r>
      <w:r w:rsidRPr="00FA6F78">
        <w:rPr>
          <w:rFonts w:ascii="Courier New" w:eastAsia="Times New Roman" w:hAnsi="Courier New" w:cs="Courier New"/>
          <w:color w:val="7B30D0"/>
          <w:kern w:val="0"/>
          <w:sz w:val="20"/>
          <w:szCs w:val="20"/>
          <w14:ligatures w14:val="none"/>
        </w:rPr>
        <w:t>for</w:t>
      </w:r>
      <w:r w:rsidRPr="00FA6F78">
        <w:rPr>
          <w:rFonts w:ascii="Courier New" w:eastAsia="Times New Roman" w:hAnsi="Courier New" w:cs="Courier New"/>
          <w:color w:val="002339"/>
          <w:kern w:val="0"/>
          <w:sz w:val="20"/>
          <w:szCs w:val="20"/>
          <w14:ligatures w14:val="none"/>
        </w:rPr>
        <w:t xml:space="preserve"> </w:t>
      </w:r>
      <w:proofErr w:type="spellStart"/>
      <w:r w:rsidRPr="00FA6F78">
        <w:rPr>
          <w:rFonts w:ascii="Courier New" w:eastAsia="Times New Roman" w:hAnsi="Courier New" w:cs="Courier New"/>
          <w:color w:val="002339"/>
          <w:kern w:val="0"/>
          <w:sz w:val="20"/>
          <w:szCs w:val="20"/>
          <w14:ligatures w14:val="none"/>
        </w:rPr>
        <w:t>i</w:t>
      </w:r>
      <w:proofErr w:type="spellEnd"/>
      <w:r w:rsidRPr="00FA6F78">
        <w:rPr>
          <w:rFonts w:ascii="Courier New" w:eastAsia="Times New Roman" w:hAnsi="Courier New" w:cs="Courier New"/>
          <w:color w:val="002339"/>
          <w:kern w:val="0"/>
          <w:sz w:val="20"/>
          <w:szCs w:val="20"/>
          <w14:ligatures w14:val="none"/>
        </w:rPr>
        <w:t xml:space="preserve"> </w:t>
      </w:r>
      <w:r w:rsidRPr="00FA6F78">
        <w:rPr>
          <w:rFonts w:ascii="Courier New" w:eastAsia="Times New Roman" w:hAnsi="Courier New" w:cs="Courier New"/>
          <w:color w:val="7B30D0"/>
          <w:kern w:val="0"/>
          <w:sz w:val="20"/>
          <w:szCs w:val="20"/>
          <w14:ligatures w14:val="none"/>
        </w:rPr>
        <w:t>in</w:t>
      </w:r>
      <w:r w:rsidRPr="00FA6F78">
        <w:rPr>
          <w:rFonts w:ascii="Courier New" w:eastAsia="Times New Roman" w:hAnsi="Courier New" w:cs="Courier New"/>
          <w:color w:val="1AB394"/>
          <w:kern w:val="0"/>
          <w:sz w:val="20"/>
          <w:szCs w:val="20"/>
          <w14:ligatures w14:val="none"/>
        </w:rPr>
        <w:t xml:space="preserve"> </w:t>
      </w:r>
      <w:proofErr w:type="gramStart"/>
      <w:r w:rsidRPr="00FA6F78">
        <w:rPr>
          <w:rFonts w:ascii="Courier New" w:eastAsia="Times New Roman" w:hAnsi="Courier New" w:cs="Courier New"/>
          <w:color w:val="1AB394"/>
          <w:kern w:val="0"/>
          <w:sz w:val="20"/>
          <w:szCs w:val="20"/>
          <w14:ligatures w14:val="none"/>
        </w:rPr>
        <w:t>range</w:t>
      </w:r>
      <w:r w:rsidRPr="00FA6F78">
        <w:rPr>
          <w:rFonts w:ascii="Courier New" w:eastAsia="Times New Roman" w:hAnsi="Courier New" w:cs="Courier New"/>
          <w:color w:val="002339"/>
          <w:kern w:val="0"/>
          <w:sz w:val="20"/>
          <w:szCs w:val="20"/>
          <w14:ligatures w14:val="none"/>
        </w:rPr>
        <w:t>(</w:t>
      </w:r>
      <w:proofErr w:type="gramEnd"/>
      <w:r w:rsidRPr="00FA6F78">
        <w:rPr>
          <w:rFonts w:ascii="Courier New" w:eastAsia="Times New Roman" w:hAnsi="Courier New" w:cs="Courier New"/>
          <w:color w:val="174781"/>
          <w:kern w:val="0"/>
          <w:sz w:val="20"/>
          <w:szCs w:val="20"/>
          <w14:ligatures w14:val="none"/>
        </w:rPr>
        <w:t>5</w:t>
      </w:r>
      <w:r w:rsidRPr="00FA6F78">
        <w:rPr>
          <w:rFonts w:ascii="Courier New" w:eastAsia="Times New Roman" w:hAnsi="Courier New" w:cs="Courier New"/>
          <w:color w:val="002339"/>
          <w:kern w:val="0"/>
          <w:sz w:val="20"/>
          <w:szCs w:val="20"/>
          <w14:ligatures w14:val="none"/>
        </w:rPr>
        <w:t xml:space="preserve">)]) </w:t>
      </w:r>
      <w:r w:rsidRPr="00FA6F78">
        <w:rPr>
          <w:rFonts w:ascii="Courier New" w:eastAsia="Times New Roman" w:hAnsi="Courier New" w:cs="Courier New"/>
          <w:color w:val="7B30D0"/>
          <w:kern w:val="0"/>
          <w:sz w:val="20"/>
          <w:szCs w:val="20"/>
          <w14:ligatures w14:val="none"/>
        </w:rPr>
        <w:t>/</w:t>
      </w:r>
      <w:r w:rsidRPr="00FA6F78">
        <w:rPr>
          <w:rFonts w:ascii="Courier New" w:eastAsia="Times New Roman" w:hAnsi="Courier New" w:cs="Courier New"/>
          <w:color w:val="174781"/>
          <w:kern w:val="0"/>
          <w:sz w:val="20"/>
          <w:szCs w:val="20"/>
          <w14:ligatures w14:val="none"/>
        </w:rPr>
        <w:t xml:space="preserve"> </w:t>
      </w:r>
      <w:proofErr w:type="gramStart"/>
      <w:r w:rsidRPr="00FA6F78">
        <w:rPr>
          <w:rFonts w:ascii="Courier New" w:eastAsia="Times New Roman" w:hAnsi="Courier New" w:cs="Courier New"/>
          <w:color w:val="174781"/>
          <w:kern w:val="0"/>
          <w:sz w:val="20"/>
          <w:szCs w:val="20"/>
          <w14:ligatures w14:val="none"/>
        </w:rPr>
        <w:t>5</w:t>
      </w:r>
      <w:r w:rsidRPr="00FA6F78">
        <w:rPr>
          <w:rFonts w:ascii="Courier New" w:eastAsia="Times New Roman" w:hAnsi="Courier New" w:cs="Courier New"/>
          <w:i/>
          <w:iCs/>
          <w:color w:val="357B42"/>
          <w:kern w:val="0"/>
          <w:sz w:val="20"/>
          <w:szCs w:val="20"/>
          <w14:ligatures w14:val="none"/>
        </w:rPr>
        <w:t xml:space="preserve">  #</w:t>
      </w:r>
      <w:proofErr w:type="gramEnd"/>
      <w:r w:rsidRPr="00FA6F78">
        <w:rPr>
          <w:rFonts w:ascii="Courier New" w:eastAsia="Times New Roman" w:hAnsi="Courier New" w:cs="Courier New"/>
          <w:i/>
          <w:iCs/>
          <w:color w:val="357B42"/>
          <w:kern w:val="0"/>
          <w:sz w:val="20"/>
          <w:szCs w:val="20"/>
          <w14:ligatures w14:val="none"/>
        </w:rPr>
        <w:t xml:space="preserve"> ~$110,462</w:t>
      </w:r>
    </w:p>
    <w:p w14:paraId="5A258880"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lastRenderedPageBreak/>
        <w:t>Section 4: High-5 Compensation Details</w:t>
      </w:r>
    </w:p>
    <w:p w14:paraId="6CF28E62" w14:textId="77777777" w:rsidR="00FA6F78" w:rsidRPr="00FA6F78" w:rsidRDefault="00FA6F78" w:rsidP="00FA6F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Definition</w:t>
      </w:r>
      <w:r w:rsidRPr="00FA6F78">
        <w:rPr>
          <w:rFonts w:ascii="Times New Roman" w:eastAsia="Times New Roman" w:hAnsi="Times New Roman" w:cs="Times New Roman"/>
          <w:kern w:val="0"/>
          <w14:ligatures w14:val="none"/>
        </w:rPr>
        <w:t>: Average annual compensation over your 5 highest-paid years in the last 10 plan years before termination/retirement (SPD Section II, page 10).</w:t>
      </w:r>
    </w:p>
    <w:p w14:paraId="304D376B" w14:textId="77777777" w:rsidR="00FA6F78" w:rsidRPr="00FA6F78" w:rsidRDefault="00FA6F78" w:rsidP="00FA6F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Inclusions/Exclusions</w:t>
      </w:r>
      <w:r w:rsidRPr="00FA6F78">
        <w:rPr>
          <w:rFonts w:ascii="Times New Roman" w:eastAsia="Times New Roman" w:hAnsi="Times New Roman" w:cs="Times New Roman"/>
          <w:kern w:val="0"/>
          <w14:ligatures w14:val="none"/>
        </w:rPr>
        <w:t>: Base salary, bonuses, commissions; excludes overtime, reimbursements, etc. Capped at IRS §401(a)(17) limit.</w:t>
      </w:r>
    </w:p>
    <w:p w14:paraId="1D53DA6A" w14:textId="77777777" w:rsidR="00FA6F78" w:rsidRPr="00FA6F78" w:rsidRDefault="00FA6F78" w:rsidP="00FA6F7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Calculation Example</w:t>
      </w:r>
      <w:r w:rsidRPr="00FA6F78">
        <w:rPr>
          <w:rFonts w:ascii="Times New Roman" w:eastAsia="Times New Roman" w:hAnsi="Times New Roman" w:cs="Times New Roman"/>
          <w:kern w:val="0"/>
          <w14:ligatures w14:val="none"/>
        </w:rPr>
        <w:t>: Hypothetical $50/hour × 40 hours/week × 52 weeks = $104,000/year. If consistent: High-5 = $104,000. With 2% raises: Average top 5 ~$108,000.</w:t>
      </w:r>
    </w:p>
    <w:p w14:paraId="34EEE67B"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Expert Tip</w:t>
      </w:r>
      <w:r w:rsidRPr="00FA6F78">
        <w:rPr>
          <w:rFonts w:ascii="Times New Roman" w:eastAsia="Times New Roman" w:hAnsi="Times New Roman" w:cs="Times New Roman"/>
          <w:kern w:val="0"/>
          <w14:ligatures w14:val="none"/>
        </w:rPr>
        <w:t>: If terminated early, High-5 is frozen (SPD Section III-2). The "buy out" rule may affect final-year compensation inclusion if it extends service credit.</w:t>
      </w:r>
    </w:p>
    <w:p w14:paraId="4C0CCB95"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t>Section 5: Rule of 85 and Retirement Timing</w:t>
      </w:r>
    </w:p>
    <w:p w14:paraId="21EAF73C" w14:textId="77777777" w:rsidR="00FA6F78" w:rsidRPr="00FA6F78" w:rsidRDefault="00FA6F78" w:rsidP="00FA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Rule of 85</w:t>
      </w:r>
      <w:r w:rsidRPr="00FA6F78">
        <w:rPr>
          <w:rFonts w:ascii="Times New Roman" w:eastAsia="Times New Roman" w:hAnsi="Times New Roman" w:cs="Times New Roman"/>
          <w:kern w:val="0"/>
          <w14:ligatures w14:val="none"/>
        </w:rPr>
        <w:t xml:space="preserve">: Unreduced benefits if Age + Years of Participation ≥ 85 and age ≥ 55 (DOCUMENT and Specifications). No early reduction penalty. </w:t>
      </w:r>
    </w:p>
    <w:p w14:paraId="4E1B860C" w14:textId="77777777" w:rsidR="00FA6F78" w:rsidRPr="00FA6F78" w:rsidRDefault="00FA6F78" w:rsidP="00FA6F7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Math</w:t>
      </w:r>
      <w:r w:rsidRPr="00FA6F78">
        <w:rPr>
          <w:rFonts w:ascii="Times New Roman" w:eastAsia="Times New Roman" w:hAnsi="Times New Roman" w:cs="Times New Roman"/>
          <w:kern w:val="0"/>
          <w14:ligatures w14:val="none"/>
        </w:rPr>
        <w:t>: Age (whole years) + Service (whole + fractions) = 85+. Hypothetical: Age 60 + 25 years = 85—unreduced annuity at 60.</w:t>
      </w:r>
    </w:p>
    <w:p w14:paraId="10F25E9E" w14:textId="77777777" w:rsidR="00FA6F78" w:rsidRPr="00FA6F78" w:rsidRDefault="00FA6F78" w:rsidP="00FA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Early Retirement</w:t>
      </w:r>
      <w:r w:rsidRPr="00FA6F78">
        <w:rPr>
          <w:rFonts w:ascii="Times New Roman" w:eastAsia="Times New Roman" w:hAnsi="Times New Roman" w:cs="Times New Roman"/>
          <w:kern w:val="0"/>
          <w14:ligatures w14:val="none"/>
        </w:rPr>
        <w:t xml:space="preserve">: Age 55+ with 10+ years—reduced 0.25%/month before 65 + 0.25%/month before 60 (up to 60% max at 55 without Rule of 85, SPD Section IV, page 22). </w:t>
      </w:r>
    </w:p>
    <w:p w14:paraId="3D248839" w14:textId="77777777" w:rsidR="00FA6F78" w:rsidRPr="00FA6F78" w:rsidRDefault="00FA6F78" w:rsidP="00FA6F78">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Formula: Reduced NRB = Unreduced × (1 - Reduction %). Example: 5 years early = 15% reduction.</w:t>
      </w:r>
    </w:p>
    <w:p w14:paraId="3D8ACEB8" w14:textId="77777777" w:rsidR="00FA6F78" w:rsidRPr="00FA6F78" w:rsidRDefault="00FA6F78" w:rsidP="00FA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Late Retirement</w:t>
      </w:r>
      <w:r w:rsidRPr="00FA6F78">
        <w:rPr>
          <w:rFonts w:ascii="Times New Roman" w:eastAsia="Times New Roman" w:hAnsi="Times New Roman" w:cs="Times New Roman"/>
          <w:kern w:val="0"/>
          <w14:ligatures w14:val="none"/>
        </w:rPr>
        <w:t>: Increase 0.25%/month after 65 + ongoing accruals (SPD Section V, page 24).</w:t>
      </w:r>
    </w:p>
    <w:p w14:paraId="112944C9" w14:textId="77777777" w:rsidR="00FA6F78" w:rsidRPr="00FA6F78" w:rsidRDefault="00FA6F78" w:rsidP="00FA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Deferred Vested</w:t>
      </w:r>
      <w:r w:rsidRPr="00FA6F78">
        <w:rPr>
          <w:rFonts w:ascii="Times New Roman" w:eastAsia="Times New Roman" w:hAnsi="Times New Roman" w:cs="Times New Roman"/>
          <w:kern w:val="0"/>
          <w14:ligatures w14:val="none"/>
        </w:rPr>
        <w:t xml:space="preserve">: If vested but </w:t>
      </w:r>
      <w:proofErr w:type="gramStart"/>
      <w:r w:rsidRPr="00FA6F78">
        <w:rPr>
          <w:rFonts w:ascii="Times New Roman" w:eastAsia="Times New Roman" w:hAnsi="Times New Roman" w:cs="Times New Roman"/>
          <w:kern w:val="0"/>
          <w14:ligatures w14:val="none"/>
        </w:rPr>
        <w:t>terminate</w:t>
      </w:r>
      <w:proofErr w:type="gramEnd"/>
      <w:r w:rsidRPr="00FA6F78">
        <w:rPr>
          <w:rFonts w:ascii="Times New Roman" w:eastAsia="Times New Roman" w:hAnsi="Times New Roman" w:cs="Times New Roman"/>
          <w:kern w:val="0"/>
          <w14:ligatures w14:val="none"/>
        </w:rPr>
        <w:t xml:space="preserve"> before 55, benefits at 65 or reduced early (SPD Section III).</w:t>
      </w:r>
    </w:p>
    <w:p w14:paraId="7740819F" w14:textId="77777777" w:rsidR="00FA6F78" w:rsidRPr="00FA6F78" w:rsidRDefault="00FA6F78" w:rsidP="00FA6F7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Buy Out Impact on Timing</w:t>
      </w:r>
      <w:r w:rsidRPr="00FA6F78">
        <w:rPr>
          <w:rFonts w:ascii="Times New Roman" w:eastAsia="Times New Roman" w:hAnsi="Times New Roman" w:cs="Times New Roman"/>
          <w:kern w:val="0"/>
          <w14:ligatures w14:val="none"/>
        </w:rPr>
        <w:t>: Working through January to secure full-year credit can help meet Rule of 85 earlier or boost accruals, potentially allowing unreduced benefits sooner.</w:t>
      </w:r>
    </w:p>
    <w:p w14:paraId="00B9B038"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Expert Math</w:t>
      </w:r>
      <w:r w:rsidRPr="00FA6F78">
        <w:rPr>
          <w:rFonts w:ascii="Times New Roman" w:eastAsia="Times New Roman" w:hAnsi="Times New Roman" w:cs="Times New Roman"/>
          <w:kern w:val="0"/>
          <w14:ligatures w14:val="none"/>
        </w:rPr>
        <w:t>: Reduction % = 0.0025 × Months Early (to 65) + 0.0025 × Months Early (to 60 if applicable). For Rule of 85, % = 0.</w:t>
      </w:r>
    </w:p>
    <w:p w14:paraId="6EAA06C5"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t>Section 6: Annuity Options and Payments</w:t>
      </w:r>
    </w:p>
    <w:p w14:paraId="0BD296C7" w14:textId="77777777" w:rsidR="00FA6F78" w:rsidRPr="00FA6F78" w:rsidRDefault="00FA6F78" w:rsidP="00FA6F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Standard Form</w:t>
      </w:r>
      <w:r w:rsidRPr="00FA6F78">
        <w:rPr>
          <w:rFonts w:ascii="Times New Roman" w:eastAsia="Times New Roman" w:hAnsi="Times New Roman" w:cs="Times New Roman"/>
          <w:kern w:val="0"/>
          <w14:ligatures w14:val="none"/>
        </w:rPr>
        <w:t>: 10-Year Certain and Life Annuity—monthly payments for life, guaranteed 120 months (SPD Section VI, page 25).</w:t>
      </w:r>
    </w:p>
    <w:p w14:paraId="28EEFBD4" w14:textId="77777777" w:rsidR="00FA6F78" w:rsidRPr="00FA6F78" w:rsidRDefault="00FA6F78" w:rsidP="00FA6F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Options</w:t>
      </w:r>
      <w:r w:rsidRPr="00FA6F78">
        <w:rPr>
          <w:rFonts w:ascii="Times New Roman" w:eastAsia="Times New Roman" w:hAnsi="Times New Roman" w:cs="Times New Roman"/>
          <w:kern w:val="0"/>
          <w14:ligatures w14:val="none"/>
        </w:rPr>
        <w:t xml:space="preserve"> (actuarially equivalent using 6% interest + 2009 mortality table for post-2011 service, per DOCUMENT Section 3): </w:t>
      </w:r>
    </w:p>
    <w:p w14:paraId="733FBBF2" w14:textId="77777777" w:rsidR="00FA6F78" w:rsidRPr="00FA6F78" w:rsidRDefault="00FA6F78" w:rsidP="00FA6F7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Joint &amp; Survivor (QJSA for married): Reduced monthly (e.g., 50% survivor = ~10-15% reduction) to provide spouse benefit.</w:t>
      </w:r>
    </w:p>
    <w:p w14:paraId="6F1A1B23" w14:textId="77777777" w:rsidR="00FA6F78" w:rsidRPr="00FA6F78" w:rsidRDefault="00FA6F78" w:rsidP="00FA6F7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Leveling: Higher monthly until age 62/SS age, then drop to level with SS (DOCUMENT Section 3).</w:t>
      </w:r>
    </w:p>
    <w:p w14:paraId="57900107" w14:textId="77777777" w:rsidR="00FA6F78" w:rsidRPr="00FA6F78" w:rsidRDefault="00FA6F78" w:rsidP="00FA6F78">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lastRenderedPageBreak/>
        <w:t>Guaranteed: Fixed payments for set period or amount.</w:t>
      </w:r>
    </w:p>
    <w:p w14:paraId="4A84585D" w14:textId="77777777" w:rsidR="00FA6F78" w:rsidRPr="00FA6F78" w:rsidRDefault="00FA6F78" w:rsidP="00FA6F7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Interest Rate Impact</w:t>
      </w:r>
      <w:r w:rsidRPr="00FA6F78">
        <w:rPr>
          <w:rFonts w:ascii="Times New Roman" w:eastAsia="Times New Roman" w:hAnsi="Times New Roman" w:cs="Times New Roman"/>
          <w:kern w:val="0"/>
          <w14:ligatures w14:val="none"/>
        </w:rPr>
        <w:t>: Fixed 6% for equivalence (not segment rates). Higher rates would mean less reduction for survivors, but it's locked (DOCUMENT).</w:t>
      </w:r>
    </w:p>
    <w:p w14:paraId="523EB410"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Math Example</w:t>
      </w:r>
      <w:r w:rsidRPr="00FA6F78">
        <w:rPr>
          <w:rFonts w:ascii="Times New Roman" w:eastAsia="Times New Roman" w:hAnsi="Times New Roman" w:cs="Times New Roman"/>
          <w:kern w:val="0"/>
          <w14:ligatures w14:val="none"/>
        </w:rPr>
        <w:t>: For $4,000/month life only, 50% J&amp;S reduction factor ~0.90 (age-dependent): Reduced = $4,000 × 0.90 = $3,600.</w:t>
      </w:r>
    </w:p>
    <w:p w14:paraId="4A8EA034"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t>Section 7: Lump Sum Calculations – Detailed Methodology</w:t>
      </w:r>
    </w:p>
    <w:p w14:paraId="5CA4D54A"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Lump sums are the present value (PV) of your annuity stream, using IRS minimum present value segment rates (spot rates, no 24-month average) and mortality tables under §417(e) (Rev. Rul. 2007-67, pages 1-2; PPA §302, page 780). Full or partial lump sums available if PV &gt; $1,000 (Specifications, page 1).</w:t>
      </w:r>
    </w:p>
    <w:p w14:paraId="3A974F06" w14:textId="77777777" w:rsidR="00FA6F78" w:rsidRPr="00FA6F78" w:rsidRDefault="00FA6F78" w:rsidP="00FA6F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Segment Rates Overview</w:t>
      </w:r>
      <w:r w:rsidRPr="00FA6F78">
        <w:rPr>
          <w:rFonts w:ascii="Times New Roman" w:eastAsia="Times New Roman" w:hAnsi="Times New Roman" w:cs="Times New Roman"/>
          <w:kern w:val="0"/>
          <w14:ligatures w14:val="none"/>
        </w:rPr>
        <w:t xml:space="preserve"> (IRS Minimum Present Value page): Derived from corporate bond yields (AAA-BBB). Three segments discount based on payout timing (Rev. Rul. 2007-67, page 2): </w:t>
      </w:r>
    </w:p>
    <w:p w14:paraId="59BF7C89" w14:textId="77777777" w:rsidR="00FA6F78" w:rsidRPr="00FA6F78" w:rsidRDefault="00FA6F78" w:rsidP="00FA6F7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Segment 1: Benefits in 0-5 years (months 1-60).</w:t>
      </w:r>
    </w:p>
    <w:p w14:paraId="22196811" w14:textId="77777777" w:rsidR="00FA6F78" w:rsidRPr="00FA6F78" w:rsidRDefault="00FA6F78" w:rsidP="00FA6F7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Segment 2: 5-20 years (months 61-240).</w:t>
      </w:r>
    </w:p>
    <w:p w14:paraId="43BA14EA" w14:textId="77777777" w:rsidR="00FA6F78" w:rsidRPr="00FA6F78" w:rsidRDefault="00FA6F78" w:rsidP="00FA6F7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Segment 3: &gt;20 years (months 241+).</w:t>
      </w:r>
    </w:p>
    <w:p w14:paraId="54C12C73" w14:textId="77777777" w:rsidR="00FA6F78" w:rsidRPr="00FA6F78" w:rsidRDefault="00FA6F78" w:rsidP="00FA6F7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Latest (August 2025): 4.20% / 5.29% / 6.08%. Lower rates = higher lump sum.</w:t>
      </w:r>
    </w:p>
    <w:p w14:paraId="11D310A5" w14:textId="77777777" w:rsidR="00FA6F78" w:rsidRPr="00FA6F78" w:rsidRDefault="00FA6F78" w:rsidP="00FA6F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Mortality Tables</w:t>
      </w:r>
      <w:r w:rsidRPr="00FA6F78">
        <w:rPr>
          <w:rFonts w:ascii="Times New Roman" w:eastAsia="Times New Roman" w:hAnsi="Times New Roman" w:cs="Times New Roman"/>
          <w:kern w:val="0"/>
          <w14:ligatures w14:val="none"/>
        </w:rPr>
        <w:t xml:space="preserve">: Unisex static (e.g., 2024 from Notice 2024-42: RP-2014 projected with MP-2021; modified for §417(e)). Provides survival probability </w:t>
      </w:r>
      <w:proofErr w:type="spellStart"/>
      <w:r w:rsidRPr="00FA6F78">
        <w:rPr>
          <w:rFonts w:ascii="Times New Roman" w:eastAsia="Times New Roman" w:hAnsi="Times New Roman" w:cs="Times New Roman"/>
          <w:kern w:val="0"/>
          <w14:ligatures w14:val="none"/>
        </w:rPr>
        <w:t>p_t</w:t>
      </w:r>
      <w:proofErr w:type="spellEnd"/>
      <w:r w:rsidRPr="00FA6F78">
        <w:rPr>
          <w:rFonts w:ascii="Times New Roman" w:eastAsia="Times New Roman" w:hAnsi="Times New Roman" w:cs="Times New Roman"/>
          <w:kern w:val="0"/>
          <w14:ligatures w14:val="none"/>
        </w:rPr>
        <w:t>.</w:t>
      </w:r>
    </w:p>
    <w:p w14:paraId="69324DC0" w14:textId="77777777" w:rsidR="00FA6F78" w:rsidRPr="00FA6F78" w:rsidRDefault="00FA6F78" w:rsidP="00FA6F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Full Math Formula</w:t>
      </w:r>
      <w:r w:rsidRPr="00FA6F78">
        <w:rPr>
          <w:rFonts w:ascii="Times New Roman" w:eastAsia="Times New Roman" w:hAnsi="Times New Roman" w:cs="Times New Roman"/>
          <w:kern w:val="0"/>
          <w14:ligatures w14:val="none"/>
        </w:rPr>
        <w:t xml:space="preserve">: Lump Sum PV = </w:t>
      </w:r>
      <w:proofErr w:type="gramStart"/>
      <w:r w:rsidRPr="00FA6F78">
        <w:rPr>
          <w:rFonts w:ascii="Times New Roman" w:eastAsia="Times New Roman" w:hAnsi="Times New Roman" w:cs="Times New Roman"/>
          <w:kern w:val="0"/>
          <w14:ligatures w14:val="none"/>
        </w:rPr>
        <w:t>∑_{</w:t>
      </w:r>
      <w:proofErr w:type="gramEnd"/>
      <w:r w:rsidRPr="00FA6F78">
        <w:rPr>
          <w:rFonts w:ascii="Times New Roman" w:eastAsia="Times New Roman" w:hAnsi="Times New Roman" w:cs="Times New Roman"/>
          <w:kern w:val="0"/>
          <w14:ligatures w14:val="none"/>
        </w:rPr>
        <w:t>t=</w:t>
      </w:r>
      <w:proofErr w:type="gramStart"/>
      <w:r w:rsidRPr="00FA6F78">
        <w:rPr>
          <w:rFonts w:ascii="Times New Roman" w:eastAsia="Times New Roman" w:hAnsi="Times New Roman" w:cs="Times New Roman"/>
          <w:kern w:val="0"/>
          <w14:ligatures w14:val="none"/>
        </w:rPr>
        <w:t>1}^</w:t>
      </w:r>
      <w:proofErr w:type="gramEnd"/>
      <w:r w:rsidRPr="00FA6F78">
        <w:rPr>
          <w:rFonts w:ascii="Times New Roman" w:eastAsia="Times New Roman" w:hAnsi="Times New Roman" w:cs="Times New Roman"/>
          <w:kern w:val="0"/>
          <w14:ligatures w14:val="none"/>
        </w:rPr>
        <w:t xml:space="preserve">{T} [Monthly Annuity × </w:t>
      </w:r>
      <w:proofErr w:type="spellStart"/>
      <w:r w:rsidRPr="00FA6F78">
        <w:rPr>
          <w:rFonts w:ascii="Times New Roman" w:eastAsia="Times New Roman" w:hAnsi="Times New Roman" w:cs="Times New Roman"/>
          <w:kern w:val="0"/>
          <w14:ligatures w14:val="none"/>
        </w:rPr>
        <w:t>p_t</w:t>
      </w:r>
      <w:proofErr w:type="spellEnd"/>
      <w:r w:rsidRPr="00FA6F78">
        <w:rPr>
          <w:rFonts w:ascii="Times New Roman" w:eastAsia="Times New Roman" w:hAnsi="Times New Roman" w:cs="Times New Roman"/>
          <w:kern w:val="0"/>
          <w14:ligatures w14:val="none"/>
        </w:rPr>
        <w:t xml:space="preserve"> × (1 / (1 + </w:t>
      </w:r>
      <w:proofErr w:type="spellStart"/>
      <w:r w:rsidRPr="00FA6F78">
        <w:rPr>
          <w:rFonts w:ascii="Times New Roman" w:eastAsia="Times New Roman" w:hAnsi="Times New Roman" w:cs="Times New Roman"/>
          <w:kern w:val="0"/>
          <w14:ligatures w14:val="none"/>
        </w:rPr>
        <w:t>r_segment</w:t>
      </w:r>
      <w:proofErr w:type="spellEnd"/>
      <w:r w:rsidRPr="00FA6F78">
        <w:rPr>
          <w:rFonts w:ascii="Times New Roman" w:eastAsia="Times New Roman" w:hAnsi="Times New Roman" w:cs="Times New Roman"/>
          <w:kern w:val="0"/>
          <w14:ligatures w14:val="none"/>
        </w:rPr>
        <w:t xml:space="preserve"> / </w:t>
      </w:r>
      <w:proofErr w:type="gramStart"/>
      <w:r w:rsidRPr="00FA6F78">
        <w:rPr>
          <w:rFonts w:ascii="Times New Roman" w:eastAsia="Times New Roman" w:hAnsi="Times New Roman" w:cs="Times New Roman"/>
          <w:kern w:val="0"/>
          <w14:ligatures w14:val="none"/>
        </w:rPr>
        <w:t>12)^</w:t>
      </w:r>
      <w:proofErr w:type="gramEnd"/>
      <w:r w:rsidRPr="00FA6F78">
        <w:rPr>
          <w:rFonts w:ascii="Times New Roman" w:eastAsia="Times New Roman" w:hAnsi="Times New Roman" w:cs="Times New Roman"/>
          <w:kern w:val="0"/>
          <w14:ligatures w14:val="none"/>
        </w:rPr>
        <w:t xml:space="preserve">t)] Where: </w:t>
      </w:r>
    </w:p>
    <w:p w14:paraId="49DDA75A" w14:textId="77777777" w:rsidR="00FA6F78" w:rsidRPr="00FA6F78" w:rsidRDefault="00FA6F78" w:rsidP="00FA6F7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t = month from ASD (T ~360-480 to age 100+).</w:t>
      </w:r>
    </w:p>
    <w:p w14:paraId="5769F10D" w14:textId="77777777" w:rsidR="00FA6F78" w:rsidRPr="00FA6F78" w:rsidRDefault="00FA6F78" w:rsidP="00FA6F7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A6F78">
        <w:rPr>
          <w:rFonts w:ascii="Times New Roman" w:eastAsia="Times New Roman" w:hAnsi="Times New Roman" w:cs="Times New Roman"/>
          <w:kern w:val="0"/>
          <w14:ligatures w14:val="none"/>
        </w:rPr>
        <w:t>p_t</w:t>
      </w:r>
      <w:proofErr w:type="spellEnd"/>
      <w:r w:rsidRPr="00FA6F78">
        <w:rPr>
          <w:rFonts w:ascii="Times New Roman" w:eastAsia="Times New Roman" w:hAnsi="Times New Roman" w:cs="Times New Roman"/>
          <w:kern w:val="0"/>
          <w14:ligatures w14:val="none"/>
        </w:rPr>
        <w:t xml:space="preserve"> = Survival probability (1 at t=0, ~0 long-term).</w:t>
      </w:r>
    </w:p>
    <w:p w14:paraId="165152E5" w14:textId="77777777" w:rsidR="00FA6F78" w:rsidRPr="00FA6F78" w:rsidRDefault="00FA6F78" w:rsidP="00FA6F7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A6F78">
        <w:rPr>
          <w:rFonts w:ascii="Times New Roman" w:eastAsia="Times New Roman" w:hAnsi="Times New Roman" w:cs="Times New Roman"/>
          <w:kern w:val="0"/>
          <w14:ligatures w14:val="none"/>
        </w:rPr>
        <w:t>r_segment</w:t>
      </w:r>
      <w:proofErr w:type="spellEnd"/>
      <w:r w:rsidRPr="00FA6F78">
        <w:rPr>
          <w:rFonts w:ascii="Times New Roman" w:eastAsia="Times New Roman" w:hAnsi="Times New Roman" w:cs="Times New Roman"/>
          <w:kern w:val="0"/>
          <w14:ligatures w14:val="none"/>
        </w:rPr>
        <w:t xml:space="preserve"> = Segment 1 if t ≤ 60; 2 if 61 ≤ t ≤ 240; 3 if t &gt; 240.</w:t>
      </w:r>
    </w:p>
    <w:p w14:paraId="48E5E67E" w14:textId="77777777" w:rsidR="00FA6F78" w:rsidRPr="00FA6F78" w:rsidRDefault="00FA6F78" w:rsidP="00FA6F78">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For reduced annuity: Multiply by reduction factor.</w:t>
      </w:r>
    </w:p>
    <w:p w14:paraId="36C85EAB" w14:textId="77777777" w:rsidR="00FA6F78" w:rsidRPr="00FA6F78" w:rsidRDefault="00FA6F78" w:rsidP="00FA6F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Step-by-Step Example</w:t>
      </w:r>
      <w:r w:rsidRPr="00FA6F78">
        <w:rPr>
          <w:rFonts w:ascii="Times New Roman" w:eastAsia="Times New Roman" w:hAnsi="Times New Roman" w:cs="Times New Roman"/>
          <w:kern w:val="0"/>
          <w14:ligatures w14:val="none"/>
        </w:rPr>
        <w:t xml:space="preserve"> (Hypothetical $4,000/month at age 60, unreduced; T=360; rates 4.20%/5.29%/6.08%): </w:t>
      </w:r>
    </w:p>
    <w:p w14:paraId="3FE4995E" w14:textId="77777777" w:rsidR="00FA6F78" w:rsidRPr="00FA6F78" w:rsidRDefault="00FA6F78" w:rsidP="00FA6F78">
      <w:pPr>
        <w:numPr>
          <w:ilvl w:val="1"/>
          <w:numId w:val="8"/>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Stream: $4,000/month.</w:t>
      </w:r>
    </w:p>
    <w:p w14:paraId="3FDC7D6C" w14:textId="77777777" w:rsidR="00FA6F78" w:rsidRPr="00FA6F78" w:rsidRDefault="00FA6F78" w:rsidP="00FA6F78">
      <w:pPr>
        <w:numPr>
          <w:ilvl w:val="1"/>
          <w:numId w:val="8"/>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For t=60: r=0.042/12=0.0035; DF=1</w:t>
      </w:r>
      <w:proofErr w:type="gramStart"/>
      <w:r w:rsidRPr="00FA6F78">
        <w:rPr>
          <w:rFonts w:ascii="Times New Roman" w:eastAsia="Times New Roman" w:hAnsi="Times New Roman" w:cs="Times New Roman"/>
          <w:kern w:val="0"/>
          <w14:ligatures w14:val="none"/>
        </w:rPr>
        <w:t>/(1.0035)^</w:t>
      </w:r>
      <w:proofErr w:type="gramEnd"/>
      <w:r w:rsidRPr="00FA6F78">
        <w:rPr>
          <w:rFonts w:ascii="Times New Roman" w:eastAsia="Times New Roman" w:hAnsi="Times New Roman" w:cs="Times New Roman"/>
          <w:kern w:val="0"/>
          <w14:ligatures w14:val="none"/>
        </w:rPr>
        <w:t>60 ≈0.810; p_60≈0.98; Contribution = $4,000 × 0.98 × 0.810 ≈ $3,175.</w:t>
      </w:r>
    </w:p>
    <w:p w14:paraId="08C45CA6" w14:textId="77777777" w:rsidR="00FA6F78" w:rsidRPr="00FA6F78" w:rsidRDefault="00FA6F78" w:rsidP="00FA6F78">
      <w:pPr>
        <w:numPr>
          <w:ilvl w:val="1"/>
          <w:numId w:val="8"/>
        </w:numPr>
        <w:spacing w:before="100" w:beforeAutospacing="1" w:after="100" w:afterAutospacing="1" w:line="240" w:lineRule="auto"/>
        <w:ind w:left="1440" w:hanging="360"/>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 xml:space="preserve">Sum all: PV ≈ $720,000 (code-verified </w:t>
      </w:r>
      <w:proofErr w:type="spellStart"/>
      <w:r w:rsidRPr="00FA6F78">
        <w:rPr>
          <w:rFonts w:ascii="Times New Roman" w:eastAsia="Times New Roman" w:hAnsi="Times New Roman" w:cs="Times New Roman"/>
          <w:kern w:val="0"/>
          <w14:ligatures w14:val="none"/>
        </w:rPr>
        <w:t>approx</w:t>
      </w:r>
      <w:proofErr w:type="spellEnd"/>
      <w:r w:rsidRPr="00FA6F78">
        <w:rPr>
          <w:rFonts w:ascii="Times New Roman" w:eastAsia="Times New Roman" w:hAnsi="Times New Roman" w:cs="Times New Roman"/>
          <w:kern w:val="0"/>
          <w14:ligatures w14:val="none"/>
        </w:rPr>
        <w:t xml:space="preserve"> $880k pre-mortality for $5k/month, scaled down).</w:t>
      </w:r>
    </w:p>
    <w:p w14:paraId="7022F98F" w14:textId="77777777" w:rsidR="00FA6F78" w:rsidRPr="00FA6F78" w:rsidRDefault="00FA6F78" w:rsidP="00FA6F7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Partial Lump Sum</w:t>
      </w:r>
      <w:r w:rsidRPr="00FA6F78">
        <w:rPr>
          <w:rFonts w:ascii="Times New Roman" w:eastAsia="Times New Roman" w:hAnsi="Times New Roman" w:cs="Times New Roman"/>
          <w:kern w:val="0"/>
          <w14:ligatures w14:val="none"/>
        </w:rPr>
        <w:t>: Elected % of PV as cash; remaining annuity reduced (DOCUMENT Section 2B). Formula: Reduced Annuity = Full × (1 - Lump PV / Total PV).</w:t>
      </w:r>
    </w:p>
    <w:p w14:paraId="08CCD811"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Expert Tip</w:t>
      </w:r>
      <w:r w:rsidRPr="00FA6F78">
        <w:rPr>
          <w:rFonts w:ascii="Times New Roman" w:eastAsia="Times New Roman" w:hAnsi="Times New Roman" w:cs="Times New Roman"/>
          <w:kern w:val="0"/>
          <w14:ligatures w14:val="none"/>
        </w:rPr>
        <w:t>: Lookback: August prior year for calendar stability (Rev. Rul. 2007-67, page 2). The "buy out" rule can influence ASD if it affects service for eligibility.</w:t>
      </w:r>
    </w:p>
    <w:p w14:paraId="3589B40E"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t>Section 8: Partial Lump Sum and Interest Rate Impacts</w:t>
      </w:r>
    </w:p>
    <w:p w14:paraId="7ECD598B" w14:textId="77777777" w:rsidR="00FA6F78" w:rsidRPr="00FA6F78" w:rsidRDefault="00FA6F78" w:rsidP="00FA6F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lastRenderedPageBreak/>
        <w:t>Partial Option</w:t>
      </w:r>
      <w:r w:rsidRPr="00FA6F78">
        <w:rPr>
          <w:rFonts w:ascii="Times New Roman" w:eastAsia="Times New Roman" w:hAnsi="Times New Roman" w:cs="Times New Roman"/>
          <w:kern w:val="0"/>
          <w14:ligatures w14:val="none"/>
        </w:rPr>
        <w:t>: Up to 50% of PV as cash, remaining as reduced annuity (DOCUMENT Section 2B). Higher rates lower lump PV, increasing remaining annuity (inverse).</w:t>
      </w:r>
    </w:p>
    <w:p w14:paraId="26F12F3F" w14:textId="77777777" w:rsidR="00FA6F78" w:rsidRPr="00FA6F78" w:rsidRDefault="00FA6F78" w:rsidP="00FA6F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Interest Impacts</w:t>
      </w:r>
      <w:r w:rsidRPr="00FA6F78">
        <w:rPr>
          <w:rFonts w:ascii="Times New Roman" w:eastAsia="Times New Roman" w:hAnsi="Times New Roman" w:cs="Times New Roman"/>
          <w:kern w:val="0"/>
          <w14:ligatures w14:val="none"/>
        </w:rPr>
        <w:t xml:space="preserve"> (DOCUMENT Sections 1-4): Funding at 7.5% (Annual Funding Notice, page 1), lump sums use segments. Annuities fixed once started; rates affect conversions (6% fixed for options).</w:t>
      </w:r>
    </w:p>
    <w:p w14:paraId="0DAE4035" w14:textId="77777777" w:rsidR="00FA6F78" w:rsidRPr="00FA6F78" w:rsidRDefault="00FA6F78" w:rsidP="00FA6F7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Math</w:t>
      </w:r>
      <w:r w:rsidRPr="00FA6F78">
        <w:rPr>
          <w:rFonts w:ascii="Times New Roman" w:eastAsia="Times New Roman" w:hAnsi="Times New Roman" w:cs="Times New Roman"/>
          <w:kern w:val="0"/>
          <w14:ligatures w14:val="none"/>
        </w:rPr>
        <w:t>: Lump = Elected % × Full PV; Reduced NRB = (1 - Elected %) × NRB.</w:t>
      </w:r>
    </w:p>
    <w:p w14:paraId="70E1ED32"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t>Section 9: Funding, Notices, and PBGC</w:t>
      </w:r>
    </w:p>
    <w:p w14:paraId="26557CFE" w14:textId="77777777" w:rsidR="00FA6F78" w:rsidRPr="00FA6F78" w:rsidRDefault="00FA6F78" w:rsidP="00FA6F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Funding</w:t>
      </w:r>
      <w:r w:rsidRPr="00FA6F78">
        <w:rPr>
          <w:rFonts w:ascii="Times New Roman" w:eastAsia="Times New Roman" w:hAnsi="Times New Roman" w:cs="Times New Roman"/>
          <w:kern w:val="0"/>
          <w14:ligatures w14:val="none"/>
        </w:rPr>
        <w:t>: 86.51% in 2024 (Annual Funding Notice, page 1); CSEC uses 7.5%, not funding segments (5.00%/5.06%/5.79% for 2025).</w:t>
      </w:r>
    </w:p>
    <w:p w14:paraId="38A8F06B" w14:textId="77777777" w:rsidR="00FA6F78" w:rsidRPr="00FA6F78" w:rsidRDefault="00FA6F78" w:rsidP="00FA6F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Notices</w:t>
      </w:r>
      <w:r w:rsidRPr="00FA6F78">
        <w:rPr>
          <w:rFonts w:ascii="Times New Roman" w:eastAsia="Times New Roman" w:hAnsi="Times New Roman" w:cs="Times New Roman"/>
          <w:kern w:val="0"/>
          <w14:ligatures w14:val="none"/>
        </w:rPr>
        <w:t>: Details assets/liabilities (e.g., $2.05B assets).</w:t>
      </w:r>
    </w:p>
    <w:p w14:paraId="441C1209" w14:textId="77777777" w:rsidR="00FA6F78" w:rsidRPr="00FA6F78" w:rsidRDefault="00FA6F78" w:rsidP="00FA6F7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PBGC</w:t>
      </w:r>
      <w:r w:rsidRPr="00FA6F78">
        <w:rPr>
          <w:rFonts w:ascii="Times New Roman" w:eastAsia="Times New Roman" w:hAnsi="Times New Roman" w:cs="Times New Roman"/>
          <w:kern w:val="0"/>
          <w14:ligatures w14:val="none"/>
        </w:rPr>
        <w:t>: Guarantees up to $7,431/month at 65.</w:t>
      </w:r>
    </w:p>
    <w:p w14:paraId="03ECC2F5"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t>Section 10: Death Benefits and Plan Termination</w:t>
      </w:r>
    </w:p>
    <w:p w14:paraId="2CFFE2C2" w14:textId="77777777" w:rsidR="00FA6F78" w:rsidRPr="00FA6F78" w:rsidRDefault="00FA6F78" w:rsidP="00FA6F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Pre-Retirement Death</w:t>
      </w:r>
      <w:r w:rsidRPr="00FA6F78">
        <w:rPr>
          <w:rFonts w:ascii="Times New Roman" w:eastAsia="Times New Roman" w:hAnsi="Times New Roman" w:cs="Times New Roman"/>
          <w:kern w:val="0"/>
          <w14:ligatures w14:val="none"/>
        </w:rPr>
        <w:t>: Survivor annuity if vested/married (50% QPSA, SPD Section VII, page 31).</w:t>
      </w:r>
    </w:p>
    <w:p w14:paraId="6FAAF754" w14:textId="77777777" w:rsidR="00FA6F78" w:rsidRPr="00FA6F78" w:rsidRDefault="00FA6F78" w:rsidP="00FA6F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Post-Retirement</w:t>
      </w:r>
      <w:r w:rsidRPr="00FA6F78">
        <w:rPr>
          <w:rFonts w:ascii="Times New Roman" w:eastAsia="Times New Roman" w:hAnsi="Times New Roman" w:cs="Times New Roman"/>
          <w:kern w:val="0"/>
          <w14:ligatures w14:val="none"/>
        </w:rPr>
        <w:t>: Depends on option (e.g., J&amp;S continues to spouse).</w:t>
      </w:r>
    </w:p>
    <w:p w14:paraId="0CDF3CF7" w14:textId="77777777" w:rsidR="00FA6F78" w:rsidRPr="00FA6F78" w:rsidRDefault="00FA6F78" w:rsidP="00FA6F7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Termination</w:t>
      </w:r>
      <w:r w:rsidRPr="00FA6F78">
        <w:rPr>
          <w:rFonts w:ascii="Times New Roman" w:eastAsia="Times New Roman" w:hAnsi="Times New Roman" w:cs="Times New Roman"/>
          <w:kern w:val="0"/>
          <w14:ligatures w14:val="none"/>
        </w:rPr>
        <w:t>: Benefits vested; lump sum or annuity (SPD Section IX, page 35).</w:t>
      </w:r>
    </w:p>
    <w:p w14:paraId="6B32957D" w14:textId="77777777" w:rsidR="00FA6F78" w:rsidRPr="00FA6F78" w:rsidRDefault="00FA6F78" w:rsidP="00FA6F7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A6F78">
        <w:rPr>
          <w:rFonts w:ascii="Times New Roman" w:eastAsia="Times New Roman" w:hAnsi="Times New Roman" w:cs="Times New Roman"/>
          <w:b/>
          <w:bCs/>
          <w:kern w:val="0"/>
          <w:sz w:val="36"/>
          <w:szCs w:val="36"/>
          <w14:ligatures w14:val="none"/>
        </w:rPr>
        <w:t>Section 11: Resources and Glossary</w:t>
      </w:r>
    </w:p>
    <w:p w14:paraId="0E9DBA60" w14:textId="77777777" w:rsidR="00FA6F78" w:rsidRPr="00FA6F78" w:rsidRDefault="00FA6F78" w:rsidP="00FA6F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Resources</w:t>
      </w:r>
      <w:r w:rsidRPr="00FA6F78">
        <w:rPr>
          <w:rFonts w:ascii="Times New Roman" w:eastAsia="Times New Roman" w:hAnsi="Times New Roman" w:cs="Times New Roman"/>
          <w:kern w:val="0"/>
          <w14:ligatures w14:val="none"/>
        </w:rPr>
        <w:t>: Pension Point, IRS for rates/mortality (e.g., Notice 2024-42).</w:t>
      </w:r>
    </w:p>
    <w:p w14:paraId="54039FF5" w14:textId="77777777" w:rsidR="00FA6F78" w:rsidRPr="00FA6F78" w:rsidRDefault="00FA6F78" w:rsidP="00FA6F7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b/>
          <w:bCs/>
          <w:kern w:val="0"/>
          <w14:ligatures w14:val="none"/>
        </w:rPr>
        <w:t>Glossary</w:t>
      </w:r>
      <w:r w:rsidRPr="00FA6F78">
        <w:rPr>
          <w:rFonts w:ascii="Times New Roman" w:eastAsia="Times New Roman" w:hAnsi="Times New Roman" w:cs="Times New Roman"/>
          <w:kern w:val="0"/>
          <w14:ligatures w14:val="none"/>
        </w:rPr>
        <w:t>: High-5: Top 5 comp avg. Segment Rates: Bond-based discounts. PV: Sum of discounted payments.</w:t>
      </w:r>
    </w:p>
    <w:p w14:paraId="2A1C64DA" w14:textId="77777777" w:rsidR="00FA6F78" w:rsidRPr="00FA6F78" w:rsidRDefault="00FA6F78" w:rsidP="00FA6F78">
      <w:pPr>
        <w:spacing w:before="100" w:beforeAutospacing="1" w:after="100" w:afterAutospacing="1" w:line="240" w:lineRule="auto"/>
        <w:rPr>
          <w:rFonts w:ascii="Times New Roman" w:eastAsia="Times New Roman" w:hAnsi="Times New Roman" w:cs="Times New Roman"/>
          <w:kern w:val="0"/>
          <w14:ligatures w14:val="none"/>
        </w:rPr>
      </w:pPr>
      <w:r w:rsidRPr="00FA6F78">
        <w:rPr>
          <w:rFonts w:ascii="Times New Roman" w:eastAsia="Times New Roman" w:hAnsi="Times New Roman" w:cs="Times New Roman"/>
          <w:kern w:val="0"/>
          <w14:ligatures w14:val="none"/>
        </w:rPr>
        <w:t>Master this, and you're an NTCA pension pro—use the math to model scenarios!</w:t>
      </w:r>
    </w:p>
    <w:p w14:paraId="421C3D4C" w14:textId="77777777" w:rsidR="009E1974" w:rsidRDefault="009E1974"/>
    <w:sectPr w:rsidR="009E1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2C7"/>
    <w:multiLevelType w:val="multilevel"/>
    <w:tmpl w:val="4B74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62FC0"/>
    <w:multiLevelType w:val="multilevel"/>
    <w:tmpl w:val="30FC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D74419"/>
    <w:multiLevelType w:val="multilevel"/>
    <w:tmpl w:val="6CF08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20F6A"/>
    <w:multiLevelType w:val="multilevel"/>
    <w:tmpl w:val="FE803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C575B"/>
    <w:multiLevelType w:val="multilevel"/>
    <w:tmpl w:val="0F0A5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6120C2"/>
    <w:multiLevelType w:val="multilevel"/>
    <w:tmpl w:val="D4A6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F0F69"/>
    <w:multiLevelType w:val="multilevel"/>
    <w:tmpl w:val="ABAE9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81321"/>
    <w:multiLevelType w:val="multilevel"/>
    <w:tmpl w:val="27F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6279C"/>
    <w:multiLevelType w:val="multilevel"/>
    <w:tmpl w:val="8C9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60402"/>
    <w:multiLevelType w:val="multilevel"/>
    <w:tmpl w:val="DE68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466C89"/>
    <w:multiLevelType w:val="multilevel"/>
    <w:tmpl w:val="27D4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9822">
    <w:abstractNumId w:val="0"/>
  </w:num>
  <w:num w:numId="2" w16cid:durableId="1648709488">
    <w:abstractNumId w:val="7"/>
  </w:num>
  <w:num w:numId="3" w16cid:durableId="726801074">
    <w:abstractNumId w:val="2"/>
  </w:num>
  <w:num w:numId="4" w16cid:durableId="703529811">
    <w:abstractNumId w:val="5"/>
  </w:num>
  <w:num w:numId="5" w16cid:durableId="529104670">
    <w:abstractNumId w:val="4"/>
  </w:num>
  <w:num w:numId="6" w16cid:durableId="937325246">
    <w:abstractNumId w:val="6"/>
  </w:num>
  <w:num w:numId="7" w16cid:durableId="34044146">
    <w:abstractNumId w:val="3"/>
  </w:num>
  <w:num w:numId="8" w16cid:durableId="1886718948">
    <w:abstractNumId w:val="3"/>
    <w:lvlOverride w:ilvl="1">
      <w:lvl w:ilvl="1">
        <w:numFmt w:val="decimal"/>
        <w:lvlText w:val="%2."/>
        <w:lvlJc w:val="left"/>
      </w:lvl>
    </w:lvlOverride>
  </w:num>
  <w:num w:numId="9" w16cid:durableId="1774864374">
    <w:abstractNumId w:val="1"/>
  </w:num>
  <w:num w:numId="10" w16cid:durableId="1525510591">
    <w:abstractNumId w:val="10"/>
  </w:num>
  <w:num w:numId="11" w16cid:durableId="836073683">
    <w:abstractNumId w:val="8"/>
  </w:num>
  <w:num w:numId="12" w16cid:durableId="16879037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78"/>
    <w:rsid w:val="004565E2"/>
    <w:rsid w:val="00721152"/>
    <w:rsid w:val="009E1974"/>
    <w:rsid w:val="00AD6C44"/>
    <w:rsid w:val="00E85855"/>
    <w:rsid w:val="00FA6F78"/>
    <w:rsid w:val="00FB1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A5B0"/>
  <w15:chartTrackingRefBased/>
  <w15:docId w15:val="{CB3003CC-75B0-4D96-8899-088145FD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6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6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6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6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6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6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6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6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6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F78"/>
    <w:rPr>
      <w:rFonts w:eastAsiaTheme="majorEastAsia" w:cstheme="majorBidi"/>
      <w:color w:val="272727" w:themeColor="text1" w:themeTint="D8"/>
    </w:rPr>
  </w:style>
  <w:style w:type="paragraph" w:styleId="Title">
    <w:name w:val="Title"/>
    <w:basedOn w:val="Normal"/>
    <w:next w:val="Normal"/>
    <w:link w:val="TitleChar"/>
    <w:uiPriority w:val="10"/>
    <w:qFormat/>
    <w:rsid w:val="00FA6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F78"/>
    <w:pPr>
      <w:spacing w:before="160"/>
      <w:jc w:val="center"/>
    </w:pPr>
    <w:rPr>
      <w:i/>
      <w:iCs/>
      <w:color w:val="404040" w:themeColor="text1" w:themeTint="BF"/>
    </w:rPr>
  </w:style>
  <w:style w:type="character" w:customStyle="1" w:styleId="QuoteChar">
    <w:name w:val="Quote Char"/>
    <w:basedOn w:val="DefaultParagraphFont"/>
    <w:link w:val="Quote"/>
    <w:uiPriority w:val="29"/>
    <w:rsid w:val="00FA6F78"/>
    <w:rPr>
      <w:i/>
      <w:iCs/>
      <w:color w:val="404040" w:themeColor="text1" w:themeTint="BF"/>
    </w:rPr>
  </w:style>
  <w:style w:type="paragraph" w:styleId="ListParagraph">
    <w:name w:val="List Paragraph"/>
    <w:basedOn w:val="Normal"/>
    <w:uiPriority w:val="34"/>
    <w:qFormat/>
    <w:rsid w:val="00FA6F78"/>
    <w:pPr>
      <w:ind w:left="720"/>
      <w:contextualSpacing/>
    </w:pPr>
  </w:style>
  <w:style w:type="character" w:styleId="IntenseEmphasis">
    <w:name w:val="Intense Emphasis"/>
    <w:basedOn w:val="DefaultParagraphFont"/>
    <w:uiPriority w:val="21"/>
    <w:qFormat/>
    <w:rsid w:val="00FA6F78"/>
    <w:rPr>
      <w:i/>
      <w:iCs/>
      <w:color w:val="0F4761" w:themeColor="accent1" w:themeShade="BF"/>
    </w:rPr>
  </w:style>
  <w:style w:type="paragraph" w:styleId="IntenseQuote">
    <w:name w:val="Intense Quote"/>
    <w:basedOn w:val="Normal"/>
    <w:next w:val="Normal"/>
    <w:link w:val="IntenseQuoteChar"/>
    <w:uiPriority w:val="30"/>
    <w:qFormat/>
    <w:rsid w:val="00FA6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F78"/>
    <w:rPr>
      <w:i/>
      <w:iCs/>
      <w:color w:val="0F4761" w:themeColor="accent1" w:themeShade="BF"/>
    </w:rPr>
  </w:style>
  <w:style w:type="character" w:styleId="IntenseReference">
    <w:name w:val="Intense Reference"/>
    <w:basedOn w:val="DefaultParagraphFont"/>
    <w:uiPriority w:val="32"/>
    <w:qFormat/>
    <w:rsid w:val="00FA6F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enefits@ntc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Harvey</dc:creator>
  <cp:keywords/>
  <dc:description/>
  <cp:lastModifiedBy>Thomas Harvey</cp:lastModifiedBy>
  <cp:revision>1</cp:revision>
  <dcterms:created xsi:type="dcterms:W3CDTF">2025-10-30T14:45:00Z</dcterms:created>
  <dcterms:modified xsi:type="dcterms:W3CDTF">2025-11-03T14:47:00Z</dcterms:modified>
</cp:coreProperties>
</file>