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leader="none" w:pos="6120"/>
        </w:tabs>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2">
      <w:pPr>
        <w:tabs>
          <w:tab w:val="center" w:leader="none" w:pos="5400"/>
        </w:tabs>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p>
    <w:p w:rsidR="00000000" w:rsidDel="00000000" w:rsidP="00000000" w:rsidRDefault="00000000" w:rsidRPr="00000000" w14:paraId="00000003">
      <w:pPr>
        <w:tabs>
          <w:tab w:val="center" w:leader="none" w:pos="4320"/>
        </w:tabs>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004">
      <w:pPr>
        <w:tabs>
          <w:tab w:val="center" w:leader="none" w:pos="6480"/>
        </w:tabs>
        <w:spacing w:after="120" w:before="120" w:line="240" w:lineRule="auto"/>
        <w:jc w:val="righ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23 tháng 11 năm 2022</w: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BÀI PHẢN BIỆN BẢN TỰ KHAI CỦA BỊ ĐƠN</w:t>
      </w:r>
      <w:r w:rsidDel="00000000" w:rsidR="00000000" w:rsidRPr="00000000">
        <w:rPr>
          <w:rtl w:val="0"/>
        </w:rPr>
      </w:r>
    </w:p>
    <w:p w:rsidR="00000000" w:rsidDel="00000000" w:rsidP="00000000" w:rsidRDefault="00000000" w:rsidRPr="00000000" w14:paraId="00000006">
      <w:pPr>
        <w:tabs>
          <w:tab w:val="left" w:leader="none" w:pos="705"/>
        </w:tabs>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Dựa trên bản tự khai của ông Nguyễn Đức Huy là đại diện theo uỷ quyền của bị đơn - Công ty TNHH Monster Energy Việt Nam (sau tắt viết tắt là Công ty), nội dung tự khai bao gồm 03 phần, cụ thể:</w:t>
      </w:r>
    </w:p>
    <w:p w:rsidR="00000000" w:rsidDel="00000000" w:rsidP="00000000" w:rsidRDefault="00000000" w:rsidRPr="00000000" w14:paraId="00000007">
      <w:pPr>
        <w:numPr>
          <w:ilvl w:val="0"/>
          <w:numId w:val="1"/>
        </w:numPr>
        <w:tabs>
          <w:tab w:val="left" w:leader="none" w:pos="705"/>
        </w:tabs>
        <w:spacing w:after="120" w:before="120" w:line="240" w:lineRule="auto"/>
        <w:ind w:left="720" w:hanging="36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Về hợp đồng lao động được giao kết giữa bà Hoa và Công ty </w:t>
      </w:r>
    </w:p>
    <w:p w:rsidR="00000000" w:rsidDel="00000000" w:rsidP="00000000" w:rsidRDefault="00000000" w:rsidRPr="00000000" w14:paraId="00000008">
      <w:pPr>
        <w:tabs>
          <w:tab w:val="left" w:leader="none" w:pos="705"/>
        </w:tabs>
        <w:spacing w:after="120" w:before="120"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Nội dung này Chúng tôi không có ý kiến phản biện.</w:t>
      </w:r>
    </w:p>
    <w:p w:rsidR="00000000" w:rsidDel="00000000" w:rsidP="00000000" w:rsidRDefault="00000000" w:rsidRPr="00000000" w14:paraId="00000009">
      <w:pPr>
        <w:numPr>
          <w:ilvl w:val="0"/>
          <w:numId w:val="1"/>
        </w:numPr>
        <w:tabs>
          <w:tab w:val="left" w:leader="none" w:pos="705"/>
        </w:tabs>
        <w:spacing w:after="120" w:before="120" w:line="240" w:lineRule="auto"/>
        <w:ind w:left="720" w:hanging="36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Về việc bà Hoa nghỉ phép năm</w:t>
      </w:r>
    </w:p>
    <w:p w:rsidR="00000000" w:rsidDel="00000000" w:rsidP="00000000" w:rsidRDefault="00000000" w:rsidRPr="00000000" w14:paraId="0000000A">
      <w:pPr>
        <w:tabs>
          <w:tab w:val="left" w:leader="none" w:pos="705"/>
        </w:tabs>
        <w:spacing w:after="120" w:before="120" w:lin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tôi có ý kiến phản biện như sau:</w:t>
      </w:r>
    </w:p>
    <w:p w:rsidR="00000000" w:rsidDel="00000000" w:rsidP="00000000" w:rsidRDefault="00000000" w:rsidRPr="00000000" w14:paraId="0000000B">
      <w:pPr>
        <w:tabs>
          <w:tab w:val="left" w:leader="none" w:pos="705"/>
        </w:tabs>
        <w:spacing w:after="120" w:before="120" w:lin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Dựa trên hợp đồng lao động được giao kết giữa bà Hoa và Công ty và Quyết định đơn phương chấm dứt hợp đồng lao động của Công ty đối với bà Hoa thì thời gian làm việc của bà Hoa được tính từ ngày 05/7/2022 đến ngày 31/5/2022 (10 tháng). </w:t>
      </w:r>
      <w:commentRangeStart w:id="0"/>
      <w:r w:rsidDel="00000000" w:rsidR="00000000" w:rsidRPr="00000000">
        <w:rPr>
          <w:rFonts w:ascii="Times New Roman" w:cs="Times New Roman" w:eastAsia="Times New Roman" w:hAnsi="Times New Roman"/>
          <w:sz w:val="26"/>
          <w:szCs w:val="26"/>
          <w:rtl w:val="0"/>
        </w:rPr>
        <w:t xml:space="preserve">Theo Điều 113 Bộ luật Lao động 2019; khoản 1, khoản 2 Điều 66 Nghị định 145/2020, số ngày nghỉ hằng năm, hưởng nguyên lương của bà Hoa được tính như sau: 12 / 12 + 0 x 10 = 10 (ngày)</w:t>
      </w:r>
      <w:commentRangeEnd w:id="0"/>
      <w:r w:rsidDel="00000000" w:rsidR="00000000" w:rsidRPr="00000000">
        <w:commentReference w:id="0"/>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C">
      <w:pPr>
        <w:tabs>
          <w:tab w:val="left" w:leader="none" w:pos="705"/>
        </w:tabs>
        <w:spacing w:after="120" w:before="120" w:lin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Bên phía người đại diện của bị đơn nêu trong bản tự khai rằng: “</w:t>
      </w:r>
      <w:r w:rsidDel="00000000" w:rsidR="00000000" w:rsidRPr="00000000">
        <w:rPr>
          <w:rFonts w:ascii="Times New Roman" w:cs="Times New Roman" w:eastAsia="Times New Roman" w:hAnsi="Times New Roman"/>
          <w:i w:val="1"/>
          <w:sz w:val="26"/>
          <w:szCs w:val="26"/>
          <w:rtl w:val="0"/>
        </w:rPr>
        <w:t xml:space="preserve">..., số ngày nghỉ phép năm theo quy định mà nguyên đơn Lê Phan Minh Hoa được hưởng là 9 ngày.</w:t>
      </w:r>
      <w:r w:rsidDel="00000000" w:rsidR="00000000" w:rsidRPr="00000000">
        <w:rPr>
          <w:rFonts w:ascii="Times New Roman" w:cs="Times New Roman" w:eastAsia="Times New Roman" w:hAnsi="Times New Roman"/>
          <w:sz w:val="26"/>
          <w:szCs w:val="26"/>
          <w:rtl w:val="0"/>
        </w:rPr>
        <w:t xml:space="preserve">” là trái với quy định của Bộ luật Lao động và “</w:t>
      </w:r>
      <w:r w:rsidDel="00000000" w:rsidR="00000000" w:rsidRPr="00000000">
        <w:rPr>
          <w:rFonts w:ascii="Times New Roman" w:cs="Times New Roman" w:eastAsia="Times New Roman" w:hAnsi="Times New Roman"/>
          <w:i w:val="1"/>
          <w:sz w:val="26"/>
          <w:szCs w:val="26"/>
          <w:rtl w:val="0"/>
        </w:rPr>
        <w:t xml:space="preserve">...số ngày nghỉ của bà Hoa tối đa chỉ 9 ngày.</w:t>
      </w:r>
      <w:r w:rsidDel="00000000" w:rsidR="00000000" w:rsidRPr="00000000">
        <w:rPr>
          <w:rFonts w:ascii="Times New Roman" w:cs="Times New Roman" w:eastAsia="Times New Roman" w:hAnsi="Times New Roman"/>
          <w:sz w:val="26"/>
          <w:szCs w:val="26"/>
          <w:rtl w:val="0"/>
        </w:rPr>
        <w:t xml:space="preserve">” là hoàn toàn không có căn cứ. Quy định về nghỉ hằng năm mà Điều 113 Bộ luật Lao động 2019 đưa ra là mức tối thiểu/mức sàn để người sử dụng lao động có căn cứ tính số ngày nghỉ hằng năm hợp lý cho người lao động, đồng thời bảo vệ người lao động khỏi hành vi bóc lột sức lao động chứ không quy định đây là mức tối đa mà người lao động được hưởng. Nếu các bên có thỏa thuận khác về số ngày nghỉ hằng năm và không thấp hơn mức mà Bộ luật Lao động quy định thì hoàn toàn được pháp luật tôn trọng;</w:t>
      </w:r>
    </w:p>
    <w:p w:rsidR="00000000" w:rsidDel="00000000" w:rsidP="00000000" w:rsidRDefault="00000000" w:rsidRPr="00000000" w14:paraId="0000000D">
      <w:pPr>
        <w:tabs>
          <w:tab w:val="left" w:leader="none" w:pos="705"/>
        </w:tabs>
        <w:spacing w:after="120" w:before="120" w:lin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Về thẩm quyền xét duyệt đơn xin nghỉ phép của bà Hoa, bên phía người đại diện của bị đơn cho rằng đó là thẩm quyền của bà Thy chứ không phải là ông Xavier là hoàn toàn không có căn cứ. </w:t>
      </w:r>
      <w:commentRangeStart w:id="1"/>
      <w:r w:rsidDel="00000000" w:rsidR="00000000" w:rsidRPr="00000000">
        <w:rPr>
          <w:rFonts w:ascii="Times New Roman" w:cs="Times New Roman" w:eastAsia="Times New Roman" w:hAnsi="Times New Roman"/>
          <w:sz w:val="26"/>
          <w:szCs w:val="26"/>
          <w:rtl w:val="0"/>
        </w:rPr>
        <w:t xml:space="preserve">Theo khoản 1, khoản 2 Điều 3, Điều 6, điểm a, điểm d khoản 3 Điều 18 Bộ luật Lao động</w:t>
      </w:r>
      <w:commentRangeEnd w:id="1"/>
      <w:r w:rsidDel="00000000" w:rsidR="00000000" w:rsidRPr="00000000">
        <w:commentReference w:id="1"/>
      </w:r>
      <w:r w:rsidDel="00000000" w:rsidR="00000000" w:rsidRPr="00000000">
        <w:rPr>
          <w:rFonts w:ascii="Times New Roman" w:cs="Times New Roman" w:eastAsia="Times New Roman" w:hAnsi="Times New Roman"/>
          <w:sz w:val="26"/>
          <w:szCs w:val="26"/>
          <w:rtl w:val="0"/>
        </w:rPr>
        <w:t xml:space="preserve">, về bản chất, cả ông X và bà T đều là người sử dụng lao động. Trong đó, bà T là người đại diện theo pháp luật đã thực hiện việc giao kết hợp đồng với bà Hoa, ông X là cá nhân trực tiếp sử dụng lao động là bà Hoa. Đồng thời, theo tập quán tại Việt Nam, cá nhân trực tiếp sử dụng lao động là ông X sẽ nắm rõ được tiến độ công việc cũng như hiểu được những hi sinh, đóng góp của bà Hoa qua đó có thẩm quyền xem xét, quyết định có cho bà Hoa nghỉ phép hay không. Bên phía người đại diện của bị đơn cho rằng đó là thẩm quyền của bà Thy chứ không phải là ông Xavier thì phải chứng minh Công ty đã cung cấp thông tin này đến bà Hoa </w:t>
      </w:r>
      <w:commentRangeStart w:id="2"/>
      <w:r w:rsidDel="00000000" w:rsidR="00000000" w:rsidRPr="00000000">
        <w:rPr>
          <w:rFonts w:ascii="Times New Roman" w:cs="Times New Roman" w:eastAsia="Times New Roman" w:hAnsi="Times New Roman"/>
          <w:sz w:val="26"/>
          <w:szCs w:val="26"/>
          <w:rtl w:val="0"/>
        </w:rPr>
        <w:t xml:space="preserve">theo khoản 1 Điều 16 Bộ luật Lao động 2019</w:t>
      </w:r>
      <w:commentRangeEnd w:id="2"/>
      <w:r w:rsidDel="00000000" w:rsidR="00000000" w:rsidRPr="00000000">
        <w:commentReference w:id="2"/>
      </w:r>
      <w:r w:rsidDel="00000000" w:rsidR="00000000" w:rsidRPr="00000000">
        <w:rPr>
          <w:rFonts w:ascii="Times New Roman" w:cs="Times New Roman" w:eastAsia="Times New Roman" w:hAnsi="Times New Roman"/>
          <w:sz w:val="26"/>
          <w:szCs w:val="26"/>
          <w:rtl w:val="0"/>
        </w:rPr>
        <w:t xml:space="preserve">. Thêm vào đó, tại mục “Giao tiếp giữa nhân viên và người giám sát” và mục “Truyền đạt nguyện vọng” trong Bộ Quy tắc ứng xử của Công ty có nêu rõ nhân viên sẽ ưu tiên làm việc với người trực tiếp giám sát tức là ông Xavier chứ không phải bà Thy. Ngoài ra, Bộ luật Lao động chỉ quy định thẩm quyền giao kết hợp đồng lao động chứ không quy định cụ thể về thẩm quyền chấp thuận cho người lao động nghỉ phép thuộc về ai. Do đó, ông Xavier hoàn toàn có thẩm quyền để chấp thuận hoặc không chấp thuận cho bà Hoa nghỉ phép.</w:t>
      </w:r>
    </w:p>
    <w:p w:rsidR="00000000" w:rsidDel="00000000" w:rsidP="00000000" w:rsidRDefault="00000000" w:rsidRPr="00000000" w14:paraId="0000000E">
      <w:pPr>
        <w:numPr>
          <w:ilvl w:val="0"/>
          <w:numId w:val="1"/>
        </w:numPr>
        <w:tabs>
          <w:tab w:val="left" w:leader="none" w:pos="705"/>
        </w:tabs>
        <w:spacing w:after="120" w:before="120" w:line="240" w:lineRule="auto"/>
        <w:ind w:left="720" w:hanging="36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Về việc chấm dứt hợp đồng với bà Hoa</w:t>
      </w:r>
    </w:p>
    <w:p w:rsidR="00000000" w:rsidDel="00000000" w:rsidP="00000000" w:rsidRDefault="00000000" w:rsidRPr="00000000" w14:paraId="0000000F">
      <w:pPr>
        <w:tabs>
          <w:tab w:val="left" w:leader="none" w:pos="705"/>
        </w:tabs>
        <w:spacing w:after="120" w:before="120" w:lin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tôi có ý kiến phản biện như sau:</w:t>
      </w:r>
    </w:p>
    <w:p w:rsidR="00000000" w:rsidDel="00000000" w:rsidP="00000000" w:rsidRDefault="00000000" w:rsidRPr="00000000" w14:paraId="00000010">
      <w:pPr>
        <w:tabs>
          <w:tab w:val="left" w:leader="none" w:pos="705"/>
        </w:tabs>
        <w:spacing w:after="120" w:before="120" w:lin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Về địa điểm làm việc: Trong hợp đồng lao động giữa bà Hoa và Công ty có quy định rõ địa điểm làm việc chủ yếu là ở Thành phố Hồ Chí Minh và </w:t>
      </w:r>
      <w:r w:rsidDel="00000000" w:rsidR="00000000" w:rsidRPr="00000000">
        <w:rPr>
          <w:rFonts w:ascii="Times New Roman" w:cs="Times New Roman" w:eastAsia="Times New Roman" w:hAnsi="Times New Roman"/>
          <w:sz w:val="26"/>
          <w:szCs w:val="26"/>
          <w:rtl w:val="0"/>
        </w:rPr>
        <w:t xml:space="preserve">có thể thay đổi d</w:t>
      </w:r>
      <w:r w:rsidDel="00000000" w:rsidR="00000000" w:rsidRPr="00000000">
        <w:rPr>
          <w:rFonts w:ascii="Times New Roman" w:cs="Times New Roman" w:eastAsia="Times New Roman" w:hAnsi="Times New Roman"/>
          <w:sz w:val="26"/>
          <w:szCs w:val="26"/>
          <w:rtl w:val="0"/>
        </w:rPr>
        <w:t xml:space="preserve">o nhu cầu kinh doanh của Công ty và nhu cầu của khách hàng Công ty. Như vậy, trong hợp đồng lao động đã nêu rõ, </w:t>
      </w:r>
      <w:r w:rsidDel="00000000" w:rsidR="00000000" w:rsidRPr="00000000">
        <w:rPr>
          <w:rFonts w:ascii="Times New Roman" w:cs="Times New Roman" w:eastAsia="Times New Roman" w:hAnsi="Times New Roman"/>
          <w:sz w:val="26"/>
          <w:szCs w:val="26"/>
          <w:rtl w:val="0"/>
        </w:rPr>
        <w:t xml:space="preserve">Thành phố Hồ Chí Minh chỉ là địa điểm làm việc chủ yếu và có thể thay đổi chứ không phải địa điểm làm việc duy nhất của bà Hoa. Do đó, bên phía đại diện của bị đơn cho rằng bà Hoa đã không làm việc theo đúng thỏa thuận về địa điểm làm việc là hoàn toàn không có căn cứ;</w:t>
      </w:r>
    </w:p>
    <w:p w:rsidR="00000000" w:rsidDel="00000000" w:rsidP="00000000" w:rsidRDefault="00000000" w:rsidRPr="00000000" w14:paraId="00000011">
      <w:pPr>
        <w:tabs>
          <w:tab w:val="left" w:leader="none" w:pos="705"/>
        </w:tabs>
        <w:spacing w:after="120" w:before="120" w:lin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Về thời giờ làm việc: Bên phía đại diện của bị đơn cho rằng bà Hoa không làm việc trong khoảng thời gian từ ngày 16/4 đến ngày 17/5/2022 theo thời giờ làm việc đã thỏa thuận trong hợp đồng lao động là hoàn toàn không có căn cứ. Bà Hoa vẫn quản lý, phụ trách các dự án mà ông Xavier giao, bà Hoa cũng có các báo cáo, trao đổi công việc đầy đủ với ông Xavier và Chúng tôi cũng sẵn sàng cung cấp email, thông tin các cuộc họp thông qua google meet… để chứng minh bà Hoa có làm việc trong khoảng thời gian nêu trên.</w:t>
      </w:r>
    </w:p>
    <w:p w:rsidR="00000000" w:rsidDel="00000000" w:rsidP="00000000" w:rsidRDefault="00000000" w:rsidRPr="00000000" w14:paraId="00000012">
      <w:pPr>
        <w:tabs>
          <w:tab w:val="left" w:leader="none" w:pos="705"/>
        </w:tabs>
        <w:spacing w:after="120" w:before="120" w:line="24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tabs>
          <w:tab w:val="left" w:leader="none" w:pos="705"/>
        </w:tabs>
        <w:spacing w:after="120" w:before="120"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Trên đây là ý kiến phản biện của Chúng tôi đối với bản tự khai của người đại diện bên phía bị đơn. Trường hợp cần trao đổi thêm, mong Quý Công ty vui lòng liên hệ với Chúng tôi.</w:t>
      </w:r>
    </w:p>
    <w:p w:rsidR="00000000" w:rsidDel="00000000" w:rsidP="00000000" w:rsidRDefault="00000000" w:rsidRPr="00000000" w14:paraId="00000014">
      <w:pPr>
        <w:tabs>
          <w:tab w:val="left" w:leader="none" w:pos="705"/>
        </w:tabs>
        <w:spacing w:after="120" w:before="120"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Trân trọng,</w:t>
      </w:r>
    </w:p>
    <w:p w:rsidR="00000000" w:rsidDel="00000000" w:rsidP="00000000" w:rsidRDefault="00000000" w:rsidRPr="00000000" w14:paraId="00000015">
      <w:pPr>
        <w:spacing w:after="120" w:before="120" w:line="24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Trần Khánh Linh</w:t>
      </w:r>
    </w:p>
    <w:p w:rsidR="00000000" w:rsidDel="00000000" w:rsidP="00000000" w:rsidRDefault="00000000" w:rsidRPr="00000000" w14:paraId="00000016">
      <w:pPr>
        <w:spacing w:after="120" w:before="120" w:lin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rần Khánh Linh" w:id="1" w:date="2022-11-23T12:03:25Z">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Điều 3 Bộ luật Lao động 2019:</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3. Giải thích từ ngữ</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Bộ luật này, các từ ngữ dưới đây được hiểu như sau:</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Người lao động là người làm việc cho người sử dụng lao động theo thỏa thuận, được trả lương và chịu sự quản lý, điều hành, giám sát của người sử dụng lao động.</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Người sử dụng lao động là doanh nghiệp, cơ quan, tổ chức, hợp tác xã, hộ gia đình, cá nhân có thuê mướn, sử dụng người lao động làm việc cho mình theo thỏa thuận; trường hợp người sử dụng lao động là cá nhân thì phải có năng lực hành vi dân sự đầy đủ."</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Điều 6 Bộ luật Lao động 2019:</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6. Quyền và nghĩa vụ của người sử dụng lao động</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Người sử dụng lao động có các quyền sau đây:</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Tuyển dụng, bố trí, quản lý, điều hành, giám sát lao động; khen thưởng và xử lý vi phạm kỷ luật lao động;</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Người sử dụng lao động có các nghĩa vụ sau đây: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Thiết lập cơ chế và thực hiện đối thoại, trao đổi với người lao động và tổ chức đại diện người lao động; thực hiện quy chế dân chủ ở cơ sở tại nơi làm việc;</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Điều 18 Bộ luật Lao động 2019:</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18. Thẩm quyền giao kết hợp đồng lao động</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Người giao kết hợp đồng lao động bên phía người sử dụng lao động là người thuộc một trong các trường hợp sau đây:</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Người đại diện theo pháp luật của doanh nghiệp hoặc người được ủy quyền theo quy định của pháp luật;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Cá nhân trực tiếp sử dụng lao động."</w:t>
      </w:r>
    </w:p>
  </w:comment>
  <w:comment w:author="Trần Khánh Linh" w:id="2" w:date="2022-11-25T04:52:08Z">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16. Nghĩa vụ cung cấp thông tin khi giao kết hợp đồng lao động</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Người sử dụng lao động phải cung cấp thông tin trung thực cho người lao động về công việc, địa điểm làm việc, điều kiện làm việc, thời giờ làm việc, thời giờ nghỉ ngơi, an toàn, vệ sinh lao động, tiền lương, hình thức trả lương, bảo hiểm xã hội, bảo hiểm y tế, bảo hiểm thất nghiệp, quy định về bảo vệ bí mật kinh doanh, bảo vệ bí mật công nghệ và vấn đề khác liên quan trực tiếp đến việc giao kết hợp đồng lao động mà người lao động yêu cầu.</w:t>
      </w:r>
    </w:p>
  </w:comment>
  <w:comment w:author="Trần Khánh Linh" w:id="0" w:date="2022-11-23T11:16:58Z">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Điều 113 Bộ luật Lao động 2019:</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113. Nghỉ hằng năm</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Người lao động làm việc đủ 12 tháng cho một người sử dụng lao động thì được nghỉ hằng năm, hưởng nguyên lương theo hợp đồng lao động như sau:</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12 ngày làm việc đối với người làm công việc trong điều kiện bình thường;</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Người lao động làm việc chưa đủ 12 tháng cho một người sử dụng lao động thì số ngày nghỉ hằng năm theo tỷ lệ tương ứng với số tháng làm việc.</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Người sử dụng lao động có trách nhiệm quy định lịch nghỉ hằng năm sau khi tham khảo ý kiến của người lao động và phải thông báo trước cho người lao động biết. Người lao động có thể thỏa thuận với người sử dụng lao động để nghỉ hằng năm thành nhiều lần hoặc nghỉ gộp tối đa 03 năm một lần."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Điều 66 Nghị định 145/2020:</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66. Cách tính ngày nghỉ hằng năm trong một số trường hợp đặc biệt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Số ngày nghỉ hằng năm của người lao động làm việc chưa đủ 12 tháng theo quy định tại khoản 2 Điều 113 của Bộ luật Lao động được tính như sau: lấy số ngày nghỉ hằng năm cộng với số ngày được nghỉ tăng thêm theo thâm niên (nếu có), chia cho 12 tháng, nhân với số tháng làm việc thực tế trong năm để tính thành số ngày được nghỉ hằng năm.</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Trường hợp người lao động làm việc chưa đủ tháng, nếu tổng số ngày làm việc và ngày nghỉ có hưởng lương của người lao động (nghỉ lễ, tết, nghỉ hằng năm, nghỉ việc riêng có hưởng lương theo Điều 112, Điều 113, Điều 114 và Điều 115 của Bộ luật Lao động) chiếm tỷ lệ từ 50% số ngày làm việc bình thường trong tháng theo thỏa thuận thì tháng đó được tính là 01 tháng làm việc để tính ngày nghỉ hằng năm."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