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566.9291338582677" w:right="-561.2598425196836" w:firstLine="0"/>
        <w:jc w:val="both"/>
        <w:rPr>
          <w:b w:val="1"/>
          <w:color w:val="000000"/>
          <w:sz w:val="24"/>
          <w:szCs w:val="24"/>
        </w:rPr>
      </w:pPr>
      <w:bookmarkStart w:colFirst="0" w:colLast="0" w:name="_vcthh8i5tiyb" w:id="0"/>
      <w:bookmarkEnd w:id="0"/>
      <w:r w:rsidDel="00000000" w:rsidR="00000000" w:rsidRPr="00000000">
        <w:rPr>
          <w:b w:val="1"/>
          <w:color w:val="000000"/>
          <w:sz w:val="24"/>
          <w:szCs w:val="24"/>
          <w:rtl w:val="0"/>
        </w:rPr>
        <w:t xml:space="preserve">Introduction and Topic Definition</w:t>
      </w:r>
    </w:p>
    <w:p w:rsidR="00000000" w:rsidDel="00000000" w:rsidP="00000000" w:rsidRDefault="00000000" w:rsidRPr="00000000" w14:paraId="00000002">
      <w:pPr>
        <w:spacing w:after="240" w:before="240" w:lineRule="auto"/>
        <w:ind w:left="-566.9291338582677" w:right="-561.2598425196836" w:firstLine="0"/>
        <w:jc w:val="both"/>
        <w:rPr>
          <w:sz w:val="20"/>
          <w:szCs w:val="20"/>
        </w:rPr>
      </w:pPr>
      <w:r w:rsidDel="00000000" w:rsidR="00000000" w:rsidRPr="00000000">
        <w:rPr>
          <w:sz w:val="20"/>
          <w:szCs w:val="20"/>
          <w:rtl w:val="0"/>
        </w:rPr>
        <w:t xml:space="preserve">How can healthcare providers make the best possible decisions when faced with an overwhelming amount of patient data? </w:t>
      </w:r>
      <w:r w:rsidDel="00000000" w:rsidR="00000000" w:rsidRPr="00000000">
        <w:rPr>
          <w:b w:val="1"/>
          <w:sz w:val="20"/>
          <w:szCs w:val="20"/>
          <w:rtl w:val="0"/>
        </w:rPr>
        <w:t xml:space="preserve">Clinical Decision Making</w:t>
      </w:r>
      <w:r w:rsidDel="00000000" w:rsidR="00000000" w:rsidRPr="00000000">
        <w:rPr>
          <w:sz w:val="20"/>
          <w:szCs w:val="20"/>
          <w:rtl w:val="0"/>
        </w:rPr>
        <w:t xml:space="preserve"> is at the heart of patient care, involving the diagnosis, treatment, and management of health conditions. However, as the volume of available data grows, so does the complexity of making accurate and timely decisions. </w:t>
      </w:r>
      <w:r w:rsidDel="00000000" w:rsidR="00000000" w:rsidRPr="00000000">
        <w:rPr>
          <w:b w:val="1"/>
          <w:sz w:val="20"/>
          <w:szCs w:val="20"/>
          <w:rtl w:val="0"/>
        </w:rPr>
        <w:t xml:space="preserve">Pattern Recognition</w:t>
      </w:r>
      <w:r w:rsidDel="00000000" w:rsidR="00000000" w:rsidRPr="00000000">
        <w:rPr>
          <w:sz w:val="20"/>
          <w:szCs w:val="20"/>
          <w:rtl w:val="0"/>
        </w:rPr>
        <w:t xml:space="preserve">—the ability to identify trends, anomalies, and correlations in data—offers a powerful solution to this challenge.</w:t>
      </w:r>
    </w:p>
    <w:p w:rsidR="00000000" w:rsidDel="00000000" w:rsidP="00000000" w:rsidRDefault="00000000" w:rsidRPr="00000000" w14:paraId="00000003">
      <w:pPr>
        <w:spacing w:after="0" w:before="0" w:lineRule="auto"/>
        <w:ind w:left="-566.9291338582677" w:right="-561.2598425196836" w:firstLine="0"/>
        <w:jc w:val="both"/>
        <w:rPr>
          <w:sz w:val="20"/>
          <w:szCs w:val="20"/>
        </w:rPr>
      </w:pPr>
      <w:r w:rsidDel="00000000" w:rsidR="00000000" w:rsidRPr="00000000">
        <w:rPr>
          <w:sz w:val="20"/>
          <w:szCs w:val="20"/>
          <w:rtl w:val="0"/>
        </w:rPr>
        <w:t xml:space="preserve">I chose to focus on </w:t>
      </w:r>
      <w:r w:rsidDel="00000000" w:rsidR="00000000" w:rsidRPr="00000000">
        <w:rPr>
          <w:b w:val="1"/>
          <w:sz w:val="20"/>
          <w:szCs w:val="20"/>
          <w:rtl w:val="0"/>
        </w:rPr>
        <w:t xml:space="preserve">Clinical Decision Making and Pattern Recognition</w:t>
      </w:r>
      <w:r w:rsidDel="00000000" w:rsidR="00000000" w:rsidRPr="00000000">
        <w:rPr>
          <w:sz w:val="20"/>
          <w:szCs w:val="20"/>
          <w:rtl w:val="0"/>
        </w:rPr>
        <w:t xml:space="preserve"> because it aligns with Cotiviti’s mission to enhance healthcare efficiency and outcomes through advanced analytics. By integrating advanced pattern recognition into its services, Cotiviti can elevate its capabilities in areas like risk adjustment and fraud detection, ultimately leading to more precise predictions, better resource allocation, and improved patient care. This topic not only builds on Cotiviti’s existing strengths but also positions the company at the cutting edge of healthcare innovation.</w:t>
        <w:br w:type="textWrapping"/>
        <w:br w:type="textWrapping"/>
      </w:r>
      <w:r w:rsidDel="00000000" w:rsidR="00000000" w:rsidRPr="00000000">
        <w:rPr>
          <w:b w:val="1"/>
          <w:sz w:val="24"/>
          <w:szCs w:val="24"/>
          <w:rtl w:val="0"/>
        </w:rPr>
        <w:t xml:space="preserve">Analyzing Relevant Trends, Opportunities and Threats</w:t>
      </w:r>
      <w:r w:rsidDel="00000000" w:rsidR="00000000" w:rsidRPr="00000000">
        <w:rPr>
          <w:sz w:val="20"/>
          <w:szCs w:val="20"/>
          <w:rtl w:val="0"/>
        </w:rPr>
        <w:br w:type="textWrapping"/>
        <w:br w:type="textWrapping"/>
      </w:r>
      <w:r w:rsidDel="00000000" w:rsidR="00000000" w:rsidRPr="00000000">
        <w:rPr>
          <w:b w:val="1"/>
          <w:rtl w:val="0"/>
        </w:rPr>
        <w:t xml:space="preserve">AI-Driven Claims and Fraud Detection: </w:t>
      </w:r>
      <w:r w:rsidDel="00000000" w:rsidR="00000000" w:rsidRPr="00000000">
        <w:rPr>
          <w:sz w:val="20"/>
          <w:szCs w:val="20"/>
          <w:rtl w:val="0"/>
        </w:rPr>
        <w:t xml:space="preserve">AI technologies have advanced significantly in fraud detection and claims processing. Optum and Change Healthcare have utilized AI to improve real-time claims adjudication and fraud detection, reducing processing times and enhancing accuracy and efficiency in detecting fraudulent claims. These advancements highlight the increasing role of AI in optimizing administrative decisions in healthcare </w:t>
      </w:r>
      <w:r w:rsidDel="00000000" w:rsidR="00000000" w:rsidRPr="00000000">
        <w:rPr>
          <w:rFonts w:ascii="Roboto" w:cs="Roboto" w:eastAsia="Roboto" w:hAnsi="Roboto"/>
          <w:color w:val="444746"/>
          <w:sz w:val="21"/>
          <w:szCs w:val="21"/>
          <w:highlight w:val="white"/>
          <w:rtl w:val="0"/>
        </w:rPr>
        <w:t xml:space="preserve">(Davenport, 2020) (Claims Automation, n.d.).</w:t>
      </w:r>
      <w:r w:rsidDel="00000000" w:rsidR="00000000" w:rsidRPr="00000000">
        <w:rPr>
          <w:rtl w:val="0"/>
        </w:rPr>
      </w:r>
    </w:p>
    <w:p w:rsidR="00000000" w:rsidDel="00000000" w:rsidP="00000000" w:rsidRDefault="00000000" w:rsidRPr="00000000" w14:paraId="00000004">
      <w:pPr>
        <w:numPr>
          <w:ilvl w:val="0"/>
          <w:numId w:val="3"/>
        </w:numPr>
        <w:spacing w:after="0" w:before="0" w:lineRule="auto"/>
        <w:ind w:left="720" w:right="-561.2598425196836" w:hanging="360"/>
        <w:jc w:val="both"/>
        <w:rPr>
          <w:sz w:val="20"/>
          <w:szCs w:val="20"/>
          <w:u w:val="none"/>
        </w:rPr>
      </w:pPr>
      <w:r w:rsidDel="00000000" w:rsidR="00000000" w:rsidRPr="00000000">
        <w:rPr>
          <w:b w:val="1"/>
          <w:sz w:val="20"/>
          <w:szCs w:val="20"/>
          <w:rtl w:val="0"/>
        </w:rPr>
        <w:t xml:space="preserve">Opportunity: </w:t>
      </w:r>
      <w:r w:rsidDel="00000000" w:rsidR="00000000" w:rsidRPr="00000000">
        <w:rPr>
          <w:sz w:val="20"/>
          <w:szCs w:val="20"/>
          <w:rtl w:val="0"/>
        </w:rPr>
        <w:t xml:space="preserve">Cotiviti could enhance its fraud detection capabilities by incorporating cutting-edge real-time anomaly detection models, such as advanced ensemble learning techniques, which combine multiple algorithms for improved accuracy and reduced false positives.</w:t>
      </w:r>
    </w:p>
    <w:p w:rsidR="00000000" w:rsidDel="00000000" w:rsidP="00000000" w:rsidRDefault="00000000" w:rsidRPr="00000000" w14:paraId="00000005">
      <w:pPr>
        <w:numPr>
          <w:ilvl w:val="0"/>
          <w:numId w:val="3"/>
        </w:numPr>
        <w:spacing w:after="0" w:before="0" w:lineRule="auto"/>
        <w:ind w:left="720" w:right="-561.2598425196836" w:hanging="360"/>
        <w:jc w:val="both"/>
        <w:rPr>
          <w:sz w:val="20"/>
          <w:szCs w:val="20"/>
          <w:u w:val="none"/>
        </w:rPr>
      </w:pPr>
      <w:r w:rsidDel="00000000" w:rsidR="00000000" w:rsidRPr="00000000">
        <w:rPr>
          <w:b w:val="1"/>
          <w:sz w:val="20"/>
          <w:szCs w:val="20"/>
          <w:rtl w:val="0"/>
        </w:rPr>
        <w:t xml:space="preserve">Threat: </w:t>
      </w:r>
      <w:r w:rsidDel="00000000" w:rsidR="00000000" w:rsidRPr="00000000">
        <w:rPr>
          <w:sz w:val="20"/>
          <w:szCs w:val="20"/>
          <w:rtl w:val="0"/>
        </w:rPr>
        <w:t xml:space="preserve">Enhanced AI tools may introduce complex data privacy risks and compliance challenges, requiring rigorous safeguards to prevent breaches and legal issues.</w:t>
      </w:r>
    </w:p>
    <w:p w:rsidR="00000000" w:rsidDel="00000000" w:rsidP="00000000" w:rsidRDefault="00000000" w:rsidRPr="00000000" w14:paraId="00000006">
      <w:pPr>
        <w:spacing w:after="0" w:before="0" w:lineRule="auto"/>
        <w:ind w:left="-566.9291338582677" w:right="-561.2598425196836" w:firstLine="0"/>
        <w:jc w:val="both"/>
        <w:rPr>
          <w:sz w:val="20"/>
          <w:szCs w:val="20"/>
        </w:rPr>
      </w:pPr>
      <w:r w:rsidDel="00000000" w:rsidR="00000000" w:rsidRPr="00000000">
        <w:rPr>
          <w:rtl w:val="0"/>
        </w:rPr>
      </w:r>
    </w:p>
    <w:p w:rsidR="00000000" w:rsidDel="00000000" w:rsidP="00000000" w:rsidRDefault="00000000" w:rsidRPr="00000000" w14:paraId="00000007">
      <w:pPr>
        <w:spacing w:after="0" w:before="0" w:lineRule="auto"/>
        <w:ind w:left="-566.9291338582677" w:right="-561.2598425196836" w:firstLine="0"/>
        <w:jc w:val="both"/>
        <w:rPr>
          <w:sz w:val="20"/>
          <w:szCs w:val="20"/>
        </w:rPr>
      </w:pPr>
      <w:r w:rsidDel="00000000" w:rsidR="00000000" w:rsidRPr="00000000">
        <w:rPr>
          <w:b w:val="1"/>
          <w:rtl w:val="0"/>
        </w:rPr>
        <w:t xml:space="preserve">Dynamic Risk Adjustment Models Using Real-Time Data: </w:t>
      </w:r>
      <w:r w:rsidDel="00000000" w:rsidR="00000000" w:rsidRPr="00000000">
        <w:rPr>
          <w:sz w:val="20"/>
          <w:szCs w:val="20"/>
          <w:rtl w:val="0"/>
        </w:rPr>
        <w:t xml:space="preserve">The exploration of dynamic risk adjustment models utilizing real-time data represents a significant advancement in healthcare analytics, underscoring the potential for enhanced risk management and resource allocation. Germany’s Health Innovation Hub </w:t>
      </w:r>
      <w:r w:rsidDel="00000000" w:rsidR="00000000" w:rsidRPr="00000000">
        <w:rPr>
          <w:rFonts w:ascii="Roboto" w:cs="Roboto" w:eastAsia="Roboto" w:hAnsi="Roboto"/>
          <w:color w:val="444746"/>
          <w:sz w:val="21"/>
          <w:szCs w:val="21"/>
          <w:highlight w:val="white"/>
          <w:rtl w:val="0"/>
        </w:rPr>
        <w:t xml:space="preserve">(Eschenbach, 2024)</w:t>
      </w:r>
      <w:r w:rsidDel="00000000" w:rsidR="00000000" w:rsidRPr="00000000">
        <w:rPr>
          <w:sz w:val="20"/>
          <w:szCs w:val="20"/>
          <w:rtl w:val="0"/>
        </w:rPr>
        <w:t xml:space="preserve"> has demonstrated the benefits of integrating real-time patient data into their risk adjustment frameworks, leading to more accurate and responsive risk stratification.</w:t>
      </w:r>
    </w:p>
    <w:p w:rsidR="00000000" w:rsidDel="00000000" w:rsidP="00000000" w:rsidRDefault="00000000" w:rsidRPr="00000000" w14:paraId="00000008">
      <w:pPr>
        <w:numPr>
          <w:ilvl w:val="0"/>
          <w:numId w:val="1"/>
        </w:numPr>
        <w:spacing w:after="0" w:before="0" w:lineRule="auto"/>
        <w:ind w:left="720" w:right="-561.2598425196836" w:hanging="360"/>
        <w:jc w:val="both"/>
        <w:rPr>
          <w:sz w:val="20"/>
          <w:szCs w:val="20"/>
          <w:u w:val="none"/>
        </w:rPr>
      </w:pPr>
      <w:r w:rsidDel="00000000" w:rsidR="00000000" w:rsidRPr="00000000">
        <w:rPr>
          <w:b w:val="1"/>
          <w:sz w:val="20"/>
          <w:szCs w:val="20"/>
          <w:rtl w:val="0"/>
        </w:rPr>
        <w:t xml:space="preserve">Opportunity:</w:t>
      </w:r>
      <w:r w:rsidDel="00000000" w:rsidR="00000000" w:rsidRPr="00000000">
        <w:rPr>
          <w:sz w:val="20"/>
          <w:szCs w:val="20"/>
          <w:rtl w:val="0"/>
        </w:rPr>
        <w:t xml:space="preserve"> Cotiviti could develop dynamic risk adjustment models that leverage federated learning and edge computing to continuously update risk scores based on live data from wearable devices, EHRs, and IoT health monitors. This would enable more personalized and timely risk assessments, making Cotiviti’s analytics more adaptable to real-world patient dynamics.</w:t>
      </w:r>
    </w:p>
    <w:p w:rsidR="00000000" w:rsidDel="00000000" w:rsidP="00000000" w:rsidRDefault="00000000" w:rsidRPr="00000000" w14:paraId="00000009">
      <w:pPr>
        <w:numPr>
          <w:ilvl w:val="0"/>
          <w:numId w:val="1"/>
        </w:numPr>
        <w:spacing w:after="0" w:before="0" w:lineRule="auto"/>
        <w:ind w:left="720" w:right="-561.2598425196836" w:hanging="360"/>
        <w:jc w:val="both"/>
        <w:rPr>
          <w:sz w:val="20"/>
          <w:szCs w:val="20"/>
          <w:u w:val="none"/>
        </w:rPr>
      </w:pPr>
      <w:r w:rsidDel="00000000" w:rsidR="00000000" w:rsidRPr="00000000">
        <w:rPr>
          <w:b w:val="1"/>
          <w:sz w:val="20"/>
          <w:szCs w:val="20"/>
          <w:rtl w:val="0"/>
        </w:rPr>
        <w:t xml:space="preserve">Threat:</w:t>
      </w:r>
      <w:r w:rsidDel="00000000" w:rsidR="00000000" w:rsidRPr="00000000">
        <w:rPr>
          <w:sz w:val="20"/>
          <w:szCs w:val="20"/>
          <w:rtl w:val="0"/>
        </w:rPr>
        <w:t xml:space="preserve"> Integrating real-time data from disparate sources poses challenges in terms of data standardization, privacy, and security. If not carefully managed, this could result in inaccurate risk assessments or data breaches, potentially damaging Cotiviti’s reputation and client trust.</w:t>
      </w:r>
    </w:p>
    <w:p w:rsidR="00000000" w:rsidDel="00000000" w:rsidP="00000000" w:rsidRDefault="00000000" w:rsidRPr="00000000" w14:paraId="0000000A">
      <w:pPr>
        <w:spacing w:after="0" w:before="0" w:lineRule="auto"/>
        <w:ind w:left="720" w:right="-561.2598425196836" w:firstLine="0"/>
        <w:jc w:val="both"/>
        <w:rPr>
          <w:sz w:val="20"/>
          <w:szCs w:val="20"/>
        </w:rPr>
      </w:pPr>
      <w:r w:rsidDel="00000000" w:rsidR="00000000" w:rsidRPr="00000000">
        <w:rPr>
          <w:rtl w:val="0"/>
        </w:rPr>
      </w:r>
    </w:p>
    <w:p w:rsidR="00000000" w:rsidDel="00000000" w:rsidP="00000000" w:rsidRDefault="00000000" w:rsidRPr="00000000" w14:paraId="0000000B">
      <w:pPr>
        <w:spacing w:after="0" w:before="0" w:lineRule="auto"/>
        <w:ind w:left="-566.9291338582677" w:right="-561.2598425196836" w:firstLine="0"/>
        <w:jc w:val="both"/>
        <w:rPr>
          <w:sz w:val="20"/>
          <w:szCs w:val="20"/>
        </w:rPr>
      </w:pPr>
      <w:r w:rsidDel="00000000" w:rsidR="00000000" w:rsidRPr="00000000">
        <w:rPr>
          <w:b w:val="1"/>
          <w:rtl w:val="0"/>
        </w:rPr>
        <w:t xml:space="preserve">Agentic Generative AI:</w:t>
      </w:r>
      <w:r w:rsidDel="00000000" w:rsidR="00000000" w:rsidRPr="00000000">
        <w:rPr>
          <w:b w:val="1"/>
          <w:sz w:val="26"/>
          <w:szCs w:val="26"/>
          <w:rtl w:val="0"/>
        </w:rPr>
        <w:t xml:space="preserve"> </w:t>
      </w:r>
      <w:r w:rsidDel="00000000" w:rsidR="00000000" w:rsidRPr="00000000">
        <w:rPr>
          <w:sz w:val="20"/>
          <w:szCs w:val="20"/>
          <w:rtl w:val="0"/>
        </w:rPr>
        <w:t xml:space="preserve">Agentic generative AI is revolutionizing healthcare by creating synthetic scenarios and treatment plans from existing patient data, which helps in exploring potential outcomes and optimizing care strategies. MedeAnalytics </w:t>
      </w:r>
      <w:r w:rsidDel="00000000" w:rsidR="00000000" w:rsidRPr="00000000">
        <w:rPr>
          <w:rFonts w:ascii="Roboto" w:cs="Roboto" w:eastAsia="Roboto" w:hAnsi="Roboto"/>
          <w:color w:val="444746"/>
          <w:sz w:val="21"/>
          <w:szCs w:val="21"/>
          <w:highlight w:val="white"/>
          <w:rtl w:val="0"/>
        </w:rPr>
        <w:t xml:space="preserve">(MedeAnalytics Editorial Team, 2023)</w:t>
      </w:r>
      <w:r w:rsidDel="00000000" w:rsidR="00000000" w:rsidRPr="00000000">
        <w:rPr>
          <w:sz w:val="20"/>
          <w:szCs w:val="20"/>
          <w:rtl w:val="0"/>
        </w:rPr>
        <w:t xml:space="preserve"> has implemented agentic generative AI to generate synthetic patient data, enabling healthcare organizations to refine their predictive models and improve risk adjustment and forecasting. This technology addresses data gaps and enhances model robustness by simulating various patient conditions and treatment responses.</w:t>
      </w:r>
    </w:p>
    <w:p w:rsidR="00000000" w:rsidDel="00000000" w:rsidP="00000000" w:rsidRDefault="00000000" w:rsidRPr="00000000" w14:paraId="0000000C">
      <w:pPr>
        <w:numPr>
          <w:ilvl w:val="0"/>
          <w:numId w:val="4"/>
        </w:numPr>
        <w:spacing w:after="0" w:before="0" w:lineRule="auto"/>
        <w:ind w:left="720" w:right="-561.2598425196836" w:hanging="360"/>
        <w:jc w:val="both"/>
        <w:rPr>
          <w:sz w:val="20"/>
          <w:szCs w:val="20"/>
          <w:u w:val="none"/>
        </w:rPr>
      </w:pPr>
      <w:r w:rsidDel="00000000" w:rsidR="00000000" w:rsidRPr="00000000">
        <w:rPr>
          <w:b w:val="1"/>
          <w:sz w:val="20"/>
          <w:szCs w:val="20"/>
          <w:rtl w:val="0"/>
        </w:rPr>
        <w:t xml:space="preserve">Opportunity: </w:t>
      </w:r>
      <w:r w:rsidDel="00000000" w:rsidR="00000000" w:rsidRPr="00000000">
        <w:rPr>
          <w:sz w:val="20"/>
          <w:szCs w:val="20"/>
          <w:rtl w:val="0"/>
        </w:rPr>
        <w:t xml:space="preserve">Cotiviti could implement agentic generative AI to create diverse synthetic patient profiles for refining risk adjustment algorithms and improving treatment recommendations, particularly for underserved patient demographics.</w:t>
      </w:r>
    </w:p>
    <w:p w:rsidR="00000000" w:rsidDel="00000000" w:rsidP="00000000" w:rsidRDefault="00000000" w:rsidRPr="00000000" w14:paraId="0000000D">
      <w:pPr>
        <w:numPr>
          <w:ilvl w:val="0"/>
          <w:numId w:val="4"/>
        </w:numPr>
        <w:ind w:left="720" w:right="-561.2598425196836" w:hanging="360"/>
        <w:jc w:val="both"/>
        <w:rPr>
          <w:sz w:val="20"/>
          <w:szCs w:val="20"/>
          <w:u w:val="none"/>
        </w:rPr>
      </w:pPr>
      <w:r w:rsidDel="00000000" w:rsidR="00000000" w:rsidRPr="00000000">
        <w:rPr>
          <w:b w:val="1"/>
          <w:sz w:val="20"/>
          <w:szCs w:val="20"/>
          <w:rtl w:val="0"/>
        </w:rPr>
        <w:t xml:space="preserve">Threat:</w:t>
      </w:r>
      <w:r w:rsidDel="00000000" w:rsidR="00000000" w:rsidRPr="00000000">
        <w:rPr>
          <w:sz w:val="20"/>
          <w:szCs w:val="20"/>
          <w:rtl w:val="0"/>
        </w:rPr>
        <w:t xml:space="preserve"> Over-reliance on synthetic data might lead to inaccuracies if real-world variability is not adequately captured, potentially impacting the quality of insights and decisions.</w:t>
      </w:r>
    </w:p>
    <w:p w:rsidR="00000000" w:rsidDel="00000000" w:rsidP="00000000" w:rsidRDefault="00000000" w:rsidRPr="00000000" w14:paraId="0000000E">
      <w:pPr>
        <w:ind w:left="-566.9291338582677" w:right="-561.2598425196836" w:firstLine="0"/>
        <w:jc w:val="both"/>
        <w:rPr>
          <w:sz w:val="20"/>
          <w:szCs w:val="20"/>
        </w:rPr>
      </w:pPr>
      <w:r w:rsidDel="00000000" w:rsidR="00000000" w:rsidRPr="00000000">
        <w:rPr>
          <w:rtl w:val="0"/>
        </w:rPr>
      </w:r>
    </w:p>
    <w:p w:rsidR="00000000" w:rsidDel="00000000" w:rsidP="00000000" w:rsidRDefault="00000000" w:rsidRPr="00000000" w14:paraId="0000000F">
      <w:pPr>
        <w:spacing w:after="0" w:before="0" w:lineRule="auto"/>
        <w:ind w:left="-566.9291338582677" w:right="-561.2598425196836" w:firstLine="0"/>
        <w:jc w:val="both"/>
        <w:rPr>
          <w:sz w:val="20"/>
          <w:szCs w:val="20"/>
        </w:rPr>
      </w:pPr>
      <w:r w:rsidDel="00000000" w:rsidR="00000000" w:rsidRPr="00000000">
        <w:rPr>
          <w:b w:val="1"/>
          <w:rtl w:val="0"/>
        </w:rPr>
        <w:t xml:space="preserve">Clustering Algorithms for Patient Segmentation: </w:t>
      </w:r>
      <w:r w:rsidDel="00000000" w:rsidR="00000000" w:rsidRPr="00000000">
        <w:rPr>
          <w:sz w:val="20"/>
          <w:szCs w:val="20"/>
          <w:rtl w:val="0"/>
        </w:rPr>
        <w:t xml:space="preserve">Clustering algorithms are increasingly being used to segment patient populations based on health characteristics and risk profiles. In 2024, HealthEC </w:t>
      </w:r>
      <w:r w:rsidDel="00000000" w:rsidR="00000000" w:rsidRPr="00000000">
        <w:rPr>
          <w:rFonts w:ascii="Roboto" w:cs="Roboto" w:eastAsia="Roboto" w:hAnsi="Roboto"/>
          <w:color w:val="444746"/>
          <w:sz w:val="21"/>
          <w:szCs w:val="21"/>
          <w:highlight w:val="white"/>
          <w:rtl w:val="0"/>
        </w:rPr>
        <w:t xml:space="preserve">(Data Analytics – HealthEC, n.d.) </w:t>
      </w:r>
      <w:r w:rsidDel="00000000" w:rsidR="00000000" w:rsidRPr="00000000">
        <w:rPr>
          <w:sz w:val="20"/>
          <w:szCs w:val="20"/>
          <w:rtl w:val="0"/>
        </w:rPr>
        <w:t xml:space="preserve">utilized advanced clustering techniques to group patients with similar conditions, which enabled more personalized care plans and targeted interventions. This approach enhances the precision of risk stratification and improves the effectiveness of care management strategies. </w:t>
      </w:r>
    </w:p>
    <w:p w:rsidR="00000000" w:rsidDel="00000000" w:rsidP="00000000" w:rsidRDefault="00000000" w:rsidRPr="00000000" w14:paraId="00000010">
      <w:pPr>
        <w:numPr>
          <w:ilvl w:val="0"/>
          <w:numId w:val="2"/>
        </w:numPr>
        <w:spacing w:after="0" w:before="0" w:lineRule="auto"/>
        <w:ind w:left="720" w:right="-561.2598425196836" w:hanging="360"/>
        <w:jc w:val="both"/>
        <w:rPr>
          <w:sz w:val="20"/>
          <w:szCs w:val="20"/>
          <w:u w:val="none"/>
        </w:rPr>
      </w:pPr>
      <w:r w:rsidDel="00000000" w:rsidR="00000000" w:rsidRPr="00000000">
        <w:rPr>
          <w:b w:val="1"/>
          <w:sz w:val="20"/>
          <w:szCs w:val="20"/>
          <w:rtl w:val="0"/>
        </w:rPr>
        <w:t xml:space="preserve">Opportunity:</w:t>
      </w:r>
      <w:r w:rsidDel="00000000" w:rsidR="00000000" w:rsidRPr="00000000">
        <w:rPr>
          <w:sz w:val="20"/>
          <w:szCs w:val="20"/>
          <w:rtl w:val="0"/>
        </w:rPr>
        <w:t xml:space="preserve"> Cotiviti could utilize advanced clustering to better segment patients by specific health conditions and risk factors, enabling more precise and individualized care plans, potentially improving patient outcomes and operational efficiency.</w:t>
      </w:r>
    </w:p>
    <w:p w:rsidR="00000000" w:rsidDel="00000000" w:rsidP="00000000" w:rsidRDefault="00000000" w:rsidRPr="00000000" w14:paraId="00000011">
      <w:pPr>
        <w:numPr>
          <w:ilvl w:val="0"/>
          <w:numId w:val="2"/>
        </w:numPr>
        <w:spacing w:after="0" w:before="0" w:lineRule="auto"/>
        <w:ind w:left="720" w:right="-561.2598425196836" w:hanging="360"/>
        <w:jc w:val="both"/>
        <w:rPr>
          <w:sz w:val="20"/>
          <w:szCs w:val="20"/>
          <w:u w:val="none"/>
        </w:rPr>
      </w:pPr>
      <w:r w:rsidDel="00000000" w:rsidR="00000000" w:rsidRPr="00000000">
        <w:rPr>
          <w:b w:val="1"/>
          <w:sz w:val="20"/>
          <w:szCs w:val="20"/>
          <w:rtl w:val="0"/>
        </w:rPr>
        <w:t xml:space="preserve">Threat:</w:t>
      </w:r>
      <w:r w:rsidDel="00000000" w:rsidR="00000000" w:rsidRPr="00000000">
        <w:rPr>
          <w:sz w:val="20"/>
          <w:szCs w:val="20"/>
          <w:rtl w:val="0"/>
        </w:rPr>
        <w:t xml:space="preserve"> The integration of advanced clustering algorithms could face challenges in aligning with existing data systems and processes, which may lead to increased complexity and costs in the short term.</w:t>
      </w:r>
    </w:p>
    <w:p w:rsidR="00000000" w:rsidDel="00000000" w:rsidP="00000000" w:rsidRDefault="00000000" w:rsidRPr="00000000" w14:paraId="00000012">
      <w:pPr>
        <w:spacing w:after="0" w:before="0" w:lineRule="auto"/>
        <w:ind w:left="-566.9291338582677" w:right="-561.2598425196836" w:firstLine="0"/>
        <w:jc w:val="both"/>
        <w:rPr>
          <w:sz w:val="20"/>
          <w:szCs w:val="20"/>
        </w:rPr>
      </w:pPr>
      <w:r w:rsidDel="00000000" w:rsidR="00000000" w:rsidRPr="00000000">
        <w:rPr>
          <w:sz w:val="20"/>
          <w:szCs w:val="20"/>
          <w:rtl w:val="0"/>
        </w:rPr>
        <w:br w:type="textWrapping"/>
      </w:r>
      <w:r w:rsidDel="00000000" w:rsidR="00000000" w:rsidRPr="00000000">
        <w:rPr>
          <w:b w:val="1"/>
          <w:sz w:val="24"/>
          <w:szCs w:val="24"/>
          <w:rtl w:val="0"/>
        </w:rPr>
        <w:t xml:space="preserve">Proposed Options</w:t>
      </w:r>
      <w:r w:rsidDel="00000000" w:rsidR="00000000" w:rsidRPr="00000000">
        <w:rPr>
          <w:b w:val="1"/>
          <w:rtl w:val="0"/>
        </w:rPr>
        <w:br w:type="textWrapping"/>
        <w:br w:type="textWrapping"/>
        <w:t xml:space="preserve">Real-Time Patient Outcome Simulation Platform: </w:t>
      </w:r>
      <w:r w:rsidDel="00000000" w:rsidR="00000000" w:rsidRPr="00000000">
        <w:rPr>
          <w:sz w:val="20"/>
          <w:szCs w:val="20"/>
          <w:rtl w:val="0"/>
        </w:rPr>
        <w:t xml:space="preserve">Cotiviti could expand its predictive analytics capabilities by developing a Real-Time Patient Outcome Simulation Platform. This solution would use simulation techniques to model and predict patient outcomes based on various treatment scenarios and interventions. By leveraging machine learning and interactive visualization tools, Cotiviti can create a virtual environment where healthcare providers can explore different treatment strategies and their potential impacts on patient health. The platform would enable healthcare providers to input patient data, such as health metrics and demographic information, and simulate outcomes of various interventions. These simulations could guide decision-making processes, helping to optimize treatment plans and improve patient care. This platform would not only enhance clinical decision-making but also position Cotiviti as an innovator in personalized healthcare solutions, offering a unique tool that anticipates the effects of medical interventions in a controlled, risk-free environment (Johnson, K, 2020).</w:t>
      </w:r>
    </w:p>
    <w:p w:rsidR="00000000" w:rsidDel="00000000" w:rsidP="00000000" w:rsidRDefault="00000000" w:rsidRPr="00000000" w14:paraId="00000013">
      <w:pPr>
        <w:spacing w:after="0" w:before="0" w:lineRule="auto"/>
        <w:ind w:left="-566.9291338582677" w:right="-561.2598425196836" w:firstLine="0"/>
        <w:jc w:val="both"/>
        <w:rPr>
          <w:b w:val="1"/>
        </w:rPr>
      </w:pPr>
      <w:r w:rsidDel="00000000" w:rsidR="00000000" w:rsidRPr="00000000">
        <w:rPr>
          <w:b w:val="1"/>
          <w:rtl w:val="0"/>
        </w:rPr>
        <w:br w:type="textWrapping"/>
        <w:t xml:space="preserve">Integration of Generative AI for Predictive Claim Pattern Analysis:</w:t>
      </w:r>
      <w:r w:rsidDel="00000000" w:rsidR="00000000" w:rsidRPr="00000000">
        <w:rPr>
          <w:b w:val="1"/>
          <w:sz w:val="20"/>
          <w:szCs w:val="20"/>
          <w:rtl w:val="0"/>
        </w:rPr>
        <w:t xml:space="preserve"> </w:t>
      </w:r>
      <w:r w:rsidDel="00000000" w:rsidR="00000000" w:rsidRPr="00000000">
        <w:rPr>
          <w:sz w:val="20"/>
          <w:szCs w:val="20"/>
          <w:rtl w:val="0"/>
        </w:rPr>
        <w:t xml:space="preserve">Cotiviti could enhance its current fraud detection system, specifically the </w:t>
      </w:r>
      <w:r w:rsidDel="00000000" w:rsidR="00000000" w:rsidRPr="00000000">
        <w:rPr>
          <w:b w:val="1"/>
          <w:sz w:val="20"/>
          <w:szCs w:val="20"/>
          <w:rtl w:val="0"/>
        </w:rPr>
        <w:t xml:space="preserve">Claims Pattern Review service</w:t>
      </w:r>
      <w:r w:rsidDel="00000000" w:rsidR="00000000" w:rsidRPr="00000000">
        <w:rPr>
          <w:sz w:val="20"/>
          <w:szCs w:val="20"/>
          <w:rtl w:val="0"/>
        </w:rPr>
        <w:t xml:space="preserve">, by integrating generative AI platforms such as </w:t>
      </w:r>
      <w:r w:rsidDel="00000000" w:rsidR="00000000" w:rsidRPr="00000000">
        <w:rPr>
          <w:b w:val="1"/>
          <w:sz w:val="20"/>
          <w:szCs w:val="20"/>
          <w:rtl w:val="0"/>
        </w:rPr>
        <w:t xml:space="preserve">nference </w:t>
      </w:r>
      <w:r w:rsidDel="00000000" w:rsidR="00000000" w:rsidRPr="00000000">
        <w:rPr>
          <w:rFonts w:ascii="Roboto" w:cs="Roboto" w:eastAsia="Roboto" w:hAnsi="Roboto"/>
          <w:color w:val="444746"/>
          <w:sz w:val="21"/>
          <w:szCs w:val="21"/>
          <w:highlight w:val="white"/>
          <w:rtl w:val="0"/>
        </w:rPr>
        <w:t xml:space="preserve">(Nference: Augmenting Intelligence, Transforming Health Care, n.d.)</w:t>
      </w:r>
      <w:r w:rsidDel="00000000" w:rsidR="00000000" w:rsidRPr="00000000">
        <w:rPr>
          <w:b w:val="1"/>
          <w:sz w:val="20"/>
          <w:szCs w:val="20"/>
          <w:rtl w:val="0"/>
        </w:rPr>
        <w:t xml:space="preserve">,</w:t>
      </w:r>
      <w:r w:rsidDel="00000000" w:rsidR="00000000" w:rsidRPr="00000000">
        <w:rPr>
          <w:sz w:val="20"/>
          <w:szCs w:val="20"/>
          <w:rtl w:val="0"/>
        </w:rPr>
        <w:t xml:space="preserve"> which analyze large volumes of unstructured healthcare data, including clinical notes and medical records. By incorporating </w:t>
      </w:r>
      <w:r w:rsidDel="00000000" w:rsidR="00000000" w:rsidRPr="00000000">
        <w:rPr>
          <w:b w:val="1"/>
          <w:sz w:val="20"/>
          <w:szCs w:val="20"/>
          <w:rtl w:val="0"/>
        </w:rPr>
        <w:t xml:space="preserve">generative AI</w:t>
      </w:r>
      <w:r w:rsidDel="00000000" w:rsidR="00000000" w:rsidRPr="00000000">
        <w:rPr>
          <w:sz w:val="20"/>
          <w:szCs w:val="20"/>
          <w:rtl w:val="0"/>
        </w:rPr>
        <w:t xml:space="preserve">, Cotiviti can develop a predictive model that identifies emerging fraud patterns in claims, excelling at detecting subtle patterns and anomalies that traditional methods might miss. While Cotiviti’s existing deep learning models offer a strong foundation, integrating genAI could refine these capabilities, providing a more sophisticated analysis and prediction of new fraud scenarios. This approach would potentially enhance the identification of complex fraud patterns, reduce false positives, and streamline the claims review and investigation process </w:t>
      </w:r>
      <w:r w:rsidDel="00000000" w:rsidR="00000000" w:rsidRPr="00000000">
        <w:rPr>
          <w:rFonts w:ascii="Roboto" w:cs="Roboto" w:eastAsia="Roboto" w:hAnsi="Roboto"/>
          <w:color w:val="444746"/>
          <w:sz w:val="21"/>
          <w:szCs w:val="21"/>
          <w:rtl w:val="0"/>
        </w:rPr>
        <w:t xml:space="preserve">(Pandey, 2024).</w:t>
        <w:br w:type="textWrapping"/>
      </w:r>
      <w:r w:rsidDel="00000000" w:rsidR="00000000" w:rsidRPr="00000000">
        <w:rPr>
          <w:rtl w:val="0"/>
        </w:rPr>
        <w:br w:type="textWrapping"/>
      </w:r>
      <w:r w:rsidDel="00000000" w:rsidR="00000000" w:rsidRPr="00000000">
        <w:rPr>
          <w:b w:val="1"/>
          <w:rtl w:val="0"/>
        </w:rPr>
        <w:t xml:space="preserve">Enhanced Anomaly Detection in Risk Adjustment: </w:t>
      </w:r>
      <w:r w:rsidDel="00000000" w:rsidR="00000000" w:rsidRPr="00000000">
        <w:rPr>
          <w:sz w:val="20"/>
          <w:szCs w:val="20"/>
          <w:rtl w:val="0"/>
        </w:rPr>
        <w:t xml:space="preserve">The objective would be to incorporate more detailed and real-world clinical and genomic data to refine the </w:t>
      </w:r>
      <w:r w:rsidDel="00000000" w:rsidR="00000000" w:rsidRPr="00000000">
        <w:rPr>
          <w:b w:val="1"/>
          <w:sz w:val="20"/>
          <w:szCs w:val="20"/>
          <w:rtl w:val="0"/>
        </w:rPr>
        <w:t xml:space="preserve">accuracy of risk calculations.</w:t>
      </w:r>
      <w:r w:rsidDel="00000000" w:rsidR="00000000" w:rsidRPr="00000000">
        <w:rPr>
          <w:sz w:val="20"/>
          <w:szCs w:val="20"/>
          <w:rtl w:val="0"/>
        </w:rPr>
        <w:t xml:space="preserve"> By leveraging tools like </w:t>
      </w:r>
      <w:r w:rsidDel="00000000" w:rsidR="00000000" w:rsidRPr="00000000">
        <w:rPr>
          <w:b w:val="1"/>
          <w:sz w:val="20"/>
          <w:szCs w:val="20"/>
          <w:rtl w:val="0"/>
        </w:rPr>
        <w:t xml:space="preserve">Tempus’ Real-World Evidence (RWE) </w:t>
      </w:r>
      <w:r w:rsidDel="00000000" w:rsidR="00000000" w:rsidRPr="00000000">
        <w:rPr>
          <w:sz w:val="20"/>
          <w:szCs w:val="20"/>
          <w:rtl w:val="0"/>
        </w:rPr>
        <w:t xml:space="preserve">Platform </w:t>
      </w:r>
      <w:r w:rsidDel="00000000" w:rsidR="00000000" w:rsidRPr="00000000">
        <w:rPr>
          <w:rFonts w:ascii="Roboto" w:cs="Roboto" w:eastAsia="Roboto" w:hAnsi="Roboto"/>
          <w:color w:val="444746"/>
          <w:sz w:val="21"/>
          <w:szCs w:val="21"/>
          <w:rtl w:val="0"/>
        </w:rPr>
        <w:t xml:space="preserve">(Carron, 2022)</w:t>
      </w:r>
      <w:r w:rsidDel="00000000" w:rsidR="00000000" w:rsidRPr="00000000">
        <w:rPr>
          <w:sz w:val="20"/>
          <w:szCs w:val="20"/>
          <w:rtl w:val="0"/>
        </w:rPr>
        <w:t xml:space="preserve">, Cotiviti can integrate this rich data source into existing algorithms to identify anomalies in patient profiles that could indicate misclassified or underreported health conditions. Cotiviti could also explore collaborations with other RWE providers or develop an in-house solution that integrates real-world data with existing claims data. Implementation could involve developing a predictive analytics module within the current Risk Adjustment service, designed to incorporate clinical, molecular, and patient-reported data into the risk adjustment algorithms. Cotiviti could also create a customizable interface that allows healthcare providers to input specific data sets relevant to their patient populations, thereby refining the risk adjustment process according to unique needs. Additionally, partnerships with genomic research organizations could provide continuous data updates, ensuring that Cotiviti’s system evolves alongside emerging medical research. These steps would improve the accuracy of risk adjustments, leading to more precise premium settings and better-informed care management decisions, ultimately positioning Cotiviti as a leader in personalized healthcare analytics.</w:t>
        <w:br w:type="textWrapping"/>
      </w:r>
      <w:r w:rsidDel="00000000" w:rsidR="00000000" w:rsidRPr="00000000">
        <w:rPr>
          <w:rtl w:val="0"/>
        </w:rPr>
      </w:r>
    </w:p>
    <w:p w:rsidR="00000000" w:rsidDel="00000000" w:rsidP="00000000" w:rsidRDefault="00000000" w:rsidRPr="00000000" w14:paraId="00000014">
      <w:pPr>
        <w:spacing w:after="0" w:before="0" w:lineRule="auto"/>
        <w:ind w:left="-566.9291338582677" w:right="-561.2598425196836" w:firstLine="0"/>
        <w:jc w:val="both"/>
        <w:rPr>
          <w:sz w:val="20"/>
          <w:szCs w:val="20"/>
        </w:rPr>
      </w:pPr>
      <w:r w:rsidDel="00000000" w:rsidR="00000000" w:rsidRPr="00000000">
        <w:rPr>
          <w:rtl w:val="0"/>
        </w:rPr>
      </w:r>
    </w:p>
    <w:p w:rsidR="00000000" w:rsidDel="00000000" w:rsidP="00000000" w:rsidRDefault="00000000" w:rsidRPr="00000000" w14:paraId="00000015">
      <w:pPr>
        <w:spacing w:after="0" w:before="0" w:lineRule="auto"/>
        <w:ind w:left="-566.9291338582677" w:right="-561.2598425196836" w:firstLine="0"/>
        <w:jc w:val="both"/>
        <w:rPr>
          <w:sz w:val="20"/>
          <w:szCs w:val="20"/>
        </w:rPr>
      </w:pPr>
      <w:r w:rsidDel="00000000" w:rsidR="00000000" w:rsidRPr="00000000">
        <w:rPr>
          <w:rtl w:val="0"/>
        </w:rPr>
      </w:r>
    </w:p>
    <w:p w:rsidR="00000000" w:rsidDel="00000000" w:rsidP="00000000" w:rsidRDefault="00000000" w:rsidRPr="00000000" w14:paraId="00000016">
      <w:pPr>
        <w:spacing w:after="0" w:before="0" w:lineRule="auto"/>
        <w:ind w:left="-566.9291338582677" w:right="-561.2598425196836" w:firstLine="0"/>
        <w:rPr/>
      </w:pPr>
      <w:r w:rsidDel="00000000" w:rsidR="00000000" w:rsidRPr="00000000">
        <w:rPr>
          <w:b w:val="1"/>
          <w:rtl w:val="0"/>
        </w:rPr>
        <w:t xml:space="preserve">Bibliography:</w:t>
        <w:br w:type="textWrapping"/>
        <w:br w:type="textWrapping"/>
      </w:r>
      <w:r w:rsidDel="00000000" w:rsidR="00000000" w:rsidRPr="00000000">
        <w:rPr>
          <w:rtl w:val="0"/>
        </w:rPr>
        <w:t xml:space="preserve">Asgari, S., Scalzo, F., &amp; Kasprowicz, M. (2019). Pattern recognition in medical decision support. BioMed Research International, 2019, 1–2. </w:t>
      </w:r>
      <w:hyperlink r:id="rId6">
        <w:r w:rsidDel="00000000" w:rsidR="00000000" w:rsidRPr="00000000">
          <w:rPr>
            <w:color w:val="1155cc"/>
            <w:u w:val="single"/>
            <w:rtl w:val="0"/>
          </w:rPr>
          <w:t xml:space="preserve">https://doi.org/10.1155/2019/6048748</w:t>
        </w:r>
      </w:hyperlink>
      <w:r w:rsidDel="00000000" w:rsidR="00000000" w:rsidRPr="00000000">
        <w:rPr>
          <w:rtl w:val="0"/>
        </w:rPr>
      </w:r>
    </w:p>
    <w:p w:rsidR="00000000" w:rsidDel="00000000" w:rsidP="00000000" w:rsidRDefault="00000000" w:rsidRPr="00000000" w14:paraId="00000017">
      <w:pPr>
        <w:spacing w:after="0" w:before="0" w:lineRule="auto"/>
        <w:ind w:left="-566.9291338582677" w:right="-561.2598425196836" w:firstLine="0"/>
        <w:rPr/>
      </w:pPr>
      <w:r w:rsidDel="00000000" w:rsidR="00000000" w:rsidRPr="00000000">
        <w:rPr>
          <w:rtl w:val="0"/>
        </w:rPr>
        <w:br w:type="textWrapping"/>
        <w:t xml:space="preserve">Cohen, M. E., &amp; Hudson, D. L. (1987). Use of pattern classification in medical decision making. In </w:t>
      </w:r>
      <w:r w:rsidDel="00000000" w:rsidR="00000000" w:rsidRPr="00000000">
        <w:rPr>
          <w:i w:val="1"/>
          <w:rtl w:val="0"/>
        </w:rPr>
        <w:t xml:space="preserve">Lecture notes in computer science</w:t>
      </w:r>
      <w:r w:rsidDel="00000000" w:rsidR="00000000" w:rsidRPr="00000000">
        <w:rPr>
          <w:rtl w:val="0"/>
        </w:rPr>
        <w:t xml:space="preserve"> (pp. 245–254). </w:t>
      </w:r>
      <w:hyperlink r:id="rId7">
        <w:r w:rsidDel="00000000" w:rsidR="00000000" w:rsidRPr="00000000">
          <w:rPr>
            <w:color w:val="1155cc"/>
            <w:u w:val="single"/>
            <w:rtl w:val="0"/>
          </w:rPr>
          <w:t xml:space="preserve">https://doi.org/10.1007/3-540-18579-8_24</w:t>
        </w:r>
      </w:hyperlink>
      <w:r w:rsidDel="00000000" w:rsidR="00000000" w:rsidRPr="00000000">
        <w:rPr>
          <w:rtl w:val="0"/>
        </w:rPr>
        <w:br w:type="textWrapping"/>
        <w:br w:type="textWrapping"/>
        <w:t xml:space="preserve">Mandell, B. F. (2024, July 9). </w:t>
      </w:r>
      <w:r w:rsidDel="00000000" w:rsidR="00000000" w:rsidRPr="00000000">
        <w:rPr>
          <w:i w:val="1"/>
          <w:rtl w:val="0"/>
        </w:rPr>
        <w:t xml:space="preserve">Introduction to clinical decision making</w:t>
      </w:r>
      <w:r w:rsidDel="00000000" w:rsidR="00000000" w:rsidRPr="00000000">
        <w:rPr>
          <w:rtl w:val="0"/>
        </w:rPr>
        <w:t xml:space="preserve">. Merck Manual Professional Edition. </w:t>
      </w:r>
      <w:hyperlink r:id="rId8">
        <w:r w:rsidDel="00000000" w:rsidR="00000000" w:rsidRPr="00000000">
          <w:rPr>
            <w:color w:val="1155cc"/>
            <w:u w:val="single"/>
            <w:rtl w:val="0"/>
          </w:rPr>
          <w:t xml:space="preserve">https://www.merckmanuals.com/professional/special-subjects/clinical-decision-making/introduction-to-clinical-decision-making</w:t>
        </w:r>
      </w:hyperlink>
      <w:r w:rsidDel="00000000" w:rsidR="00000000" w:rsidRPr="00000000">
        <w:rPr>
          <w:rtl w:val="0"/>
        </w:rPr>
      </w:r>
    </w:p>
    <w:p w:rsidR="00000000" w:rsidDel="00000000" w:rsidP="00000000" w:rsidRDefault="00000000" w:rsidRPr="00000000" w14:paraId="00000018">
      <w:pPr>
        <w:spacing w:after="0" w:before="0" w:lineRule="auto"/>
        <w:ind w:left="-566.9291338582677" w:right="-561.2598425196836" w:firstLine="0"/>
        <w:rPr/>
      </w:pPr>
      <w:r w:rsidDel="00000000" w:rsidR="00000000" w:rsidRPr="00000000">
        <w:rPr>
          <w:rtl w:val="0"/>
        </w:rPr>
      </w:r>
    </w:p>
    <w:p w:rsidR="00000000" w:rsidDel="00000000" w:rsidP="00000000" w:rsidRDefault="00000000" w:rsidRPr="00000000" w14:paraId="00000019">
      <w:pPr>
        <w:spacing w:after="0" w:before="0" w:lineRule="auto"/>
        <w:ind w:left="-566.9291338582677" w:right="-561.2598425196836" w:firstLine="0"/>
        <w:rPr>
          <w:color w:val="333333"/>
          <w:highlight w:val="white"/>
        </w:rPr>
      </w:pPr>
      <w:r w:rsidDel="00000000" w:rsidR="00000000" w:rsidRPr="00000000">
        <w:rPr>
          <w:color w:val="333333"/>
          <w:highlight w:val="white"/>
          <w:rtl w:val="0"/>
        </w:rPr>
        <w:t xml:space="preserve">Pelaccia, T., Tardif, J., Triby, E., &amp; Charlin, B. (2011). An analysis of clinical reasoning through a recent and comprehensive approach: the dual-process theory. </w:t>
      </w:r>
      <w:r w:rsidDel="00000000" w:rsidR="00000000" w:rsidRPr="00000000">
        <w:rPr>
          <w:i w:val="1"/>
          <w:color w:val="333333"/>
          <w:highlight w:val="white"/>
          <w:rtl w:val="0"/>
        </w:rPr>
        <w:t xml:space="preserve">Medical Education Online</w:t>
      </w:r>
      <w:r w:rsidDel="00000000" w:rsidR="00000000" w:rsidRPr="00000000">
        <w:rPr>
          <w:color w:val="333333"/>
          <w:highlight w:val="white"/>
          <w:rtl w:val="0"/>
        </w:rPr>
        <w:t xml:space="preserve">, </w:t>
      </w:r>
      <w:r w:rsidDel="00000000" w:rsidR="00000000" w:rsidRPr="00000000">
        <w:rPr>
          <w:i w:val="1"/>
          <w:color w:val="333333"/>
          <w:highlight w:val="white"/>
          <w:rtl w:val="0"/>
        </w:rPr>
        <w:t xml:space="preserve">16</w:t>
      </w:r>
      <w:r w:rsidDel="00000000" w:rsidR="00000000" w:rsidRPr="00000000">
        <w:rPr>
          <w:color w:val="333333"/>
          <w:highlight w:val="white"/>
          <w:rtl w:val="0"/>
        </w:rPr>
        <w:t xml:space="preserve">(1). </w:t>
      </w:r>
      <w:hyperlink r:id="rId9">
        <w:r w:rsidDel="00000000" w:rsidR="00000000" w:rsidRPr="00000000">
          <w:rPr>
            <w:color w:val="1155cc"/>
            <w:highlight w:val="white"/>
            <w:u w:val="single"/>
            <w:rtl w:val="0"/>
          </w:rPr>
          <w:t xml:space="preserve">https://doi.org/10.3402/meo.v16i0.5890</w:t>
        </w:r>
      </w:hyperlink>
      <w:r w:rsidDel="00000000" w:rsidR="00000000" w:rsidRPr="00000000">
        <w:rPr>
          <w:rtl w:val="0"/>
        </w:rPr>
      </w:r>
    </w:p>
    <w:p w:rsidR="00000000" w:rsidDel="00000000" w:rsidP="00000000" w:rsidRDefault="00000000" w:rsidRPr="00000000" w14:paraId="0000001A">
      <w:pPr>
        <w:spacing w:after="0" w:before="0" w:lineRule="auto"/>
        <w:ind w:left="-566.9291338582677" w:right="-561.2598425196836" w:firstLine="0"/>
        <w:rPr/>
      </w:pPr>
      <w:r w:rsidDel="00000000" w:rsidR="00000000" w:rsidRPr="00000000">
        <w:rPr>
          <w:rtl w:val="0"/>
        </w:rPr>
        <w:br w:type="textWrapping"/>
      </w:r>
      <w:r w:rsidDel="00000000" w:rsidR="00000000" w:rsidRPr="00000000">
        <w:rPr>
          <w:rtl w:val="0"/>
        </w:rPr>
        <w:t xml:space="preserve">Davenport, T. (2020, October 9). Optum focuses on AI to improve administrative decisions. Forbes. </w:t>
      </w:r>
      <w:hyperlink r:id="rId10">
        <w:r w:rsidDel="00000000" w:rsidR="00000000" w:rsidRPr="00000000">
          <w:rPr>
            <w:color w:val="1155cc"/>
            <w:u w:val="single"/>
            <w:rtl w:val="0"/>
          </w:rPr>
          <w:t xml:space="preserve">https://www.forbes.com/sites/tomdavenport/2020/10/09/optum-focuses-on-ai-to-improve-administrative-decisions/</w:t>
        </w:r>
      </w:hyperlink>
      <w:r w:rsidDel="00000000" w:rsidR="00000000" w:rsidRPr="00000000">
        <w:rPr>
          <w:rtl w:val="0"/>
        </w:rPr>
      </w:r>
    </w:p>
    <w:p w:rsidR="00000000" w:rsidDel="00000000" w:rsidP="00000000" w:rsidRDefault="00000000" w:rsidRPr="00000000" w14:paraId="0000001B">
      <w:pPr>
        <w:spacing w:after="0" w:before="0" w:lineRule="auto"/>
        <w:ind w:left="-566.9291338582677" w:right="-561.2598425196836" w:firstLine="0"/>
        <w:rPr/>
      </w:pPr>
      <w:r w:rsidDel="00000000" w:rsidR="00000000" w:rsidRPr="00000000">
        <w:rPr>
          <w:rtl w:val="0"/>
        </w:rPr>
      </w:r>
    </w:p>
    <w:p w:rsidR="00000000" w:rsidDel="00000000" w:rsidP="00000000" w:rsidRDefault="00000000" w:rsidRPr="00000000" w14:paraId="0000001C">
      <w:pPr>
        <w:spacing w:after="0" w:before="0" w:lineRule="auto"/>
        <w:ind w:left="-566.9291338582677" w:right="-561.2598425196836" w:firstLine="0"/>
        <w:rPr/>
      </w:pPr>
      <w:r w:rsidDel="00000000" w:rsidR="00000000" w:rsidRPr="00000000">
        <w:rPr>
          <w:rtl w:val="0"/>
        </w:rPr>
        <w:t xml:space="preserve">Claims automation. (n.d.). Change Healthcare. </w:t>
      </w:r>
      <w:hyperlink r:id="rId11">
        <w:r w:rsidDel="00000000" w:rsidR="00000000" w:rsidRPr="00000000">
          <w:rPr>
            <w:color w:val="1155cc"/>
            <w:u w:val="single"/>
            <w:rtl w:val="0"/>
          </w:rPr>
          <w:t xml:space="preserve">https://www.changehealthcare.com/medical-network/claims-automation</w:t>
        </w:r>
      </w:hyperlink>
      <w:r w:rsidDel="00000000" w:rsidR="00000000" w:rsidRPr="00000000">
        <w:rPr>
          <w:rtl w:val="0"/>
        </w:rPr>
      </w:r>
    </w:p>
    <w:p w:rsidR="00000000" w:rsidDel="00000000" w:rsidP="00000000" w:rsidRDefault="00000000" w:rsidRPr="00000000" w14:paraId="0000001D">
      <w:pPr>
        <w:spacing w:after="0" w:before="0" w:lineRule="auto"/>
        <w:ind w:left="-566.9291338582677" w:right="-561.2598425196836" w:firstLine="0"/>
        <w:rPr/>
      </w:pPr>
      <w:r w:rsidDel="00000000" w:rsidR="00000000" w:rsidRPr="00000000">
        <w:rPr>
          <w:rtl w:val="0"/>
        </w:rPr>
      </w:r>
    </w:p>
    <w:p w:rsidR="00000000" w:rsidDel="00000000" w:rsidP="00000000" w:rsidRDefault="00000000" w:rsidRPr="00000000" w14:paraId="0000001E">
      <w:pPr>
        <w:spacing w:after="0" w:before="0" w:lineRule="auto"/>
        <w:ind w:left="-566.9291338582677" w:right="-561.2598425196836" w:firstLine="0"/>
        <w:rPr/>
      </w:pPr>
      <w:r w:rsidDel="00000000" w:rsidR="00000000" w:rsidRPr="00000000">
        <w:rPr>
          <w:rtl w:val="0"/>
        </w:rPr>
        <w:t xml:space="preserve">Lacerda, C. (2024, May 6). How Does Agentic AI Differ from Traditional AI? - carlos lacerda - Medium. Medium. </w:t>
      </w:r>
      <w:hyperlink r:id="rId12">
        <w:r w:rsidDel="00000000" w:rsidR="00000000" w:rsidRPr="00000000">
          <w:rPr>
            <w:color w:val="1155cc"/>
            <w:u w:val="single"/>
            <w:rtl w:val="0"/>
          </w:rPr>
          <w:t xml:space="preserve">https://medium.com/@carlosrl/how-does-agentic-ai-differ-from-traditional-ai-0e255bb7246</w:t>
        </w:r>
      </w:hyperlink>
      <w:r w:rsidDel="00000000" w:rsidR="00000000" w:rsidRPr="00000000">
        <w:rPr>
          <w:rtl w:val="0"/>
        </w:rPr>
      </w:r>
    </w:p>
    <w:p w:rsidR="00000000" w:rsidDel="00000000" w:rsidP="00000000" w:rsidRDefault="00000000" w:rsidRPr="00000000" w14:paraId="0000001F">
      <w:pPr>
        <w:spacing w:after="0" w:before="0" w:lineRule="auto"/>
        <w:ind w:left="-566.9291338582677" w:right="-561.2598425196836" w:firstLine="0"/>
        <w:rPr/>
      </w:pPr>
      <w:r w:rsidDel="00000000" w:rsidR="00000000" w:rsidRPr="00000000">
        <w:rPr>
          <w:rtl w:val="0"/>
        </w:rPr>
      </w:r>
    </w:p>
    <w:p w:rsidR="00000000" w:rsidDel="00000000" w:rsidP="00000000" w:rsidRDefault="00000000" w:rsidRPr="00000000" w14:paraId="00000020">
      <w:pPr>
        <w:spacing w:after="0" w:before="0" w:lineRule="auto"/>
        <w:ind w:left="-566.9291338582677" w:right="-561.2598425196836" w:firstLine="0"/>
        <w:rPr/>
      </w:pPr>
      <w:r w:rsidDel="00000000" w:rsidR="00000000" w:rsidRPr="00000000">
        <w:rPr>
          <w:rtl w:val="0"/>
        </w:rPr>
        <w:t xml:space="preserve">Eschenbach, J. (2024, March 15). Health innovation hub of the German Federal Ministry of Health. Digital Medicine Society (DiMe). </w:t>
      </w:r>
      <w:hyperlink r:id="rId13">
        <w:r w:rsidDel="00000000" w:rsidR="00000000" w:rsidRPr="00000000">
          <w:rPr>
            <w:color w:val="1155cc"/>
            <w:u w:val="single"/>
            <w:rtl w:val="0"/>
          </w:rPr>
          <w:t xml:space="preserve">https://dimesociety.org/health-innovation-hub-of-the-german-federal-ministry-of-health/</w:t>
        </w:r>
      </w:hyperlink>
      <w:r w:rsidDel="00000000" w:rsidR="00000000" w:rsidRPr="00000000">
        <w:rPr>
          <w:rtl w:val="0"/>
        </w:rPr>
      </w:r>
    </w:p>
    <w:p w:rsidR="00000000" w:rsidDel="00000000" w:rsidP="00000000" w:rsidRDefault="00000000" w:rsidRPr="00000000" w14:paraId="00000021">
      <w:pPr>
        <w:spacing w:after="0" w:before="0" w:lineRule="auto"/>
        <w:ind w:left="-566.9291338582677" w:right="-561.2598425196836" w:firstLine="0"/>
        <w:rPr/>
      </w:pPr>
      <w:r w:rsidDel="00000000" w:rsidR="00000000" w:rsidRPr="00000000">
        <w:rPr>
          <w:rtl w:val="0"/>
        </w:rPr>
        <w:br w:type="textWrapping"/>
      </w:r>
      <w:r w:rsidDel="00000000" w:rsidR="00000000" w:rsidRPr="00000000">
        <w:rPr>
          <w:rtl w:val="0"/>
        </w:rPr>
        <w:t xml:space="preserve">Editorial Team. (2023, September 29). Where generative AI and healthcare intersect - MedeAnalytics. MedeAnalytics. </w:t>
      </w:r>
      <w:hyperlink r:id="rId14">
        <w:r w:rsidDel="00000000" w:rsidR="00000000" w:rsidRPr="00000000">
          <w:rPr>
            <w:color w:val="1155cc"/>
            <w:u w:val="single"/>
            <w:rtl w:val="0"/>
          </w:rPr>
          <w:t xml:space="preserve">https://medeanalytics.com/blog/where-generative-ai-and-healthcare-interse/</w:t>
        </w:r>
      </w:hyperlink>
      <w:r w:rsidDel="00000000" w:rsidR="00000000" w:rsidRPr="00000000">
        <w:rPr>
          <w:rtl w:val="0"/>
        </w:rPr>
        <w:br w:type="textWrapping"/>
        <w:br w:type="textWrapping"/>
      </w:r>
      <w:r w:rsidDel="00000000" w:rsidR="00000000" w:rsidRPr="00000000">
        <w:rPr>
          <w:rtl w:val="0"/>
        </w:rPr>
        <w:t xml:space="preserve">Data Analytics – HealthEC. (n.d.). </w:t>
      </w:r>
      <w:hyperlink r:id="rId15">
        <w:r w:rsidDel="00000000" w:rsidR="00000000" w:rsidRPr="00000000">
          <w:rPr>
            <w:color w:val="1155cc"/>
            <w:u w:val="single"/>
            <w:rtl w:val="0"/>
          </w:rPr>
          <w:t xml:space="preserve">https://healthec.com/population-health-management/data-analytics-2/</w:t>
        </w:r>
      </w:hyperlink>
      <w:r w:rsidDel="00000000" w:rsidR="00000000" w:rsidRPr="00000000">
        <w:rPr>
          <w:rtl w:val="0"/>
        </w:rPr>
      </w:r>
    </w:p>
    <w:p w:rsidR="00000000" w:rsidDel="00000000" w:rsidP="00000000" w:rsidRDefault="00000000" w:rsidRPr="00000000" w14:paraId="00000022">
      <w:pPr>
        <w:spacing w:after="0" w:before="0" w:lineRule="auto"/>
        <w:ind w:left="-566.9291338582677" w:right="-561.2598425196836" w:firstLine="0"/>
        <w:rPr>
          <w:rFonts w:ascii="Times New Roman" w:cs="Times New Roman" w:eastAsia="Times New Roman" w:hAnsi="Times New Roman"/>
          <w:sz w:val="24"/>
          <w:szCs w:val="24"/>
        </w:rPr>
      </w:pPr>
      <w:r w:rsidDel="00000000" w:rsidR="00000000" w:rsidRPr="00000000">
        <w:rPr>
          <w:rtl w:val="0"/>
        </w:rPr>
        <w:br w:type="textWrapping"/>
      </w:r>
      <w:r w:rsidDel="00000000" w:rsidR="00000000" w:rsidRPr="00000000">
        <w:rPr>
          <w:rtl w:val="0"/>
        </w:rPr>
        <w:t xml:space="preserve">nference: augmenting intelligence, transforming health care. (n.d.). Nature. </w:t>
      </w:r>
      <w:hyperlink r:id="rId16">
        <w:r w:rsidDel="00000000" w:rsidR="00000000" w:rsidRPr="00000000">
          <w:rPr>
            <w:color w:val="1155cc"/>
            <w:u w:val="single"/>
            <w:rtl w:val="0"/>
          </w:rPr>
          <w:t xml:space="preserve">https://www.nature.com/articles/d43747-020-00941-4</w:t>
        </w:r>
      </w:hyperlink>
      <w:r w:rsidDel="00000000" w:rsidR="00000000" w:rsidRPr="00000000">
        <w:rPr>
          <w:rtl w:val="0"/>
        </w:rPr>
        <w:br w:type="textWrapping"/>
        <w:br w:type="textWrapping"/>
      </w:r>
      <w:r w:rsidDel="00000000" w:rsidR="00000000" w:rsidRPr="00000000">
        <w:rPr>
          <w:rtl w:val="0"/>
        </w:rPr>
        <w:t xml:space="preserve">Pandey, S. (2024, April 16). How Generative AI is Changing Healthcare Payers – From Fraud Detection to Personalized Plans. Quantiphi. </w:t>
      </w:r>
      <w:hyperlink r:id="rId17">
        <w:r w:rsidDel="00000000" w:rsidR="00000000" w:rsidRPr="00000000">
          <w:rPr>
            <w:color w:val="1155cc"/>
            <w:u w:val="single"/>
            <w:rtl w:val="0"/>
          </w:rPr>
          <w:t xml:space="preserve">https://quantiphi.com/how-generative-ai-is-changing-healthcare-payers-from-fraud-detection-to-personalized-plans/</w:t>
        </w:r>
      </w:hyperlink>
      <w:r w:rsidDel="00000000" w:rsidR="00000000" w:rsidRPr="00000000">
        <w:rPr>
          <w:rtl w:val="0"/>
        </w:rPr>
        <w:br w:type="textWrapping"/>
        <w:br w:type="textWrapping"/>
      </w:r>
      <w:r w:rsidDel="00000000" w:rsidR="00000000" w:rsidRPr="00000000">
        <w:rPr>
          <w:rtl w:val="0"/>
        </w:rPr>
        <w:t xml:space="preserve">Carron, E. (2022, October 28). Tempus announces Real-World Data-Driven Program to accelerate Precision Oncology research. Tempus. </w:t>
      </w:r>
      <w:hyperlink r:id="rId18">
        <w:r w:rsidDel="00000000" w:rsidR="00000000" w:rsidRPr="00000000">
          <w:rPr>
            <w:color w:val="1155cc"/>
            <w:u w:val="single"/>
            <w:rtl w:val="0"/>
          </w:rPr>
          <w:t xml:space="preserve">https://www.tempus.com/news/tempus-announces-real-world-data-driven-program-to-accelerate-precision-oncology-research/?srsltid=AfmBOop-n0kDPt3VjxxvCPc7n9zd0ZSEA8RMBVGANhL3DkG_rZvyfG4U</w:t>
        </w:r>
      </w:hyperlink>
      <w:r w:rsidDel="00000000" w:rsidR="00000000" w:rsidRPr="00000000">
        <w:rPr>
          <w:rtl w:val="0"/>
        </w:rPr>
        <w:br w:type="textWrapping"/>
      </w:r>
      <w:r w:rsidDel="00000000" w:rsidR="00000000" w:rsidRPr="00000000">
        <w:rPr>
          <w:rtl w:val="0"/>
        </w:rPr>
        <w:br w:type="textWrapping"/>
        <w:t xml:space="preserve">Johnson, K. B., Wei, W., Weeraratne, D., Frisse, M. E., Misulis, K., Rhee, K., Zhao, J., &amp; Snowdon, J. L. (2020). Precision medicine, AI, and the future of personalized health care. </w:t>
      </w:r>
      <w:r w:rsidDel="00000000" w:rsidR="00000000" w:rsidRPr="00000000">
        <w:rPr>
          <w:i w:val="1"/>
          <w:rtl w:val="0"/>
        </w:rPr>
        <w:t xml:space="preserve">Clinical and Translational Science</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(1), 86–93. </w:t>
      </w:r>
      <w:hyperlink r:id="rId19">
        <w:r w:rsidDel="00000000" w:rsidR="00000000" w:rsidRPr="00000000">
          <w:rPr>
            <w:color w:val="1155cc"/>
            <w:u w:val="single"/>
            <w:rtl w:val="0"/>
          </w:rPr>
          <w:t xml:space="preserve">https://doi.org/10.1111/cts.12884</w:t>
        </w:r>
      </w:hyperlink>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23">
      <w:pPr>
        <w:spacing w:after="0" w:before="0" w:lineRule="auto"/>
        <w:ind w:left="-566.9291338582677" w:right="-561.259842519683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before="0" w:lineRule="auto"/>
        <w:ind w:left="-566.9291338582677" w:right="-561.2598425196836" w:firstLine="0"/>
        <w:rPr>
          <w:sz w:val="20"/>
          <w:szCs w:val="20"/>
        </w:rPr>
      </w:pPr>
      <w:r w:rsidDel="00000000" w:rsidR="00000000" w:rsidRPr="00000000">
        <w:rPr>
          <w:rtl w:val="0"/>
        </w:rPr>
      </w:r>
    </w:p>
    <w:p w:rsidR="00000000" w:rsidDel="00000000" w:rsidP="00000000" w:rsidRDefault="00000000" w:rsidRPr="00000000" w14:paraId="00000025">
      <w:pPr>
        <w:spacing w:after="0" w:before="0" w:lineRule="auto"/>
        <w:ind w:left="-566.9291338582677" w:right="-561.2598425196836" w:firstLine="0"/>
        <w:jc w:val="both"/>
        <w:rPr>
          <w:sz w:val="20"/>
          <w:szCs w:val="20"/>
        </w:rPr>
      </w:pPr>
      <w:r w:rsidDel="00000000" w:rsidR="00000000" w:rsidRPr="00000000">
        <w:rPr>
          <w:rtl w:val="0"/>
        </w:rPr>
      </w:r>
    </w:p>
    <w:sectPr>
      <w:headerReference r:id="rId20" w:type="first"/>
      <w:footerReference r:id="rId21" w:type="first"/>
      <w:pgSz w:h="15840" w:w="12240" w:orient="portrait"/>
      <w:pgMar w:bottom="850.3937007874016" w:top="850.3937007874016" w:left="1440.0000000000002" w:right="1440.0000000000002" w:header="566.9291338582677"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changehealthcare.com/medical-network/claims-automation" TargetMode="External"/><Relationship Id="rId10" Type="http://schemas.openxmlformats.org/officeDocument/2006/relationships/hyperlink" Target="https://www.forbes.com/sites/tomdavenport/2020/10/09/optum-focuses-on-ai-to-improve-administrative-decisions/" TargetMode="External"/><Relationship Id="rId21" Type="http://schemas.openxmlformats.org/officeDocument/2006/relationships/footer" Target="footer1.xml"/><Relationship Id="rId13" Type="http://schemas.openxmlformats.org/officeDocument/2006/relationships/hyperlink" Target="https://dimesociety.org/health-innovation-hub-of-the-german-federal-ministry-of-health/" TargetMode="External"/><Relationship Id="rId12" Type="http://schemas.openxmlformats.org/officeDocument/2006/relationships/hyperlink" Target="https://medium.com/@carlosrl/how-does-agentic-ai-differ-from-traditional-ai-0e255bb7246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3402/meo.v16i0.5890" TargetMode="External"/><Relationship Id="rId15" Type="http://schemas.openxmlformats.org/officeDocument/2006/relationships/hyperlink" Target="https://healthec.com/population-health-management/data-analytics-2/" TargetMode="External"/><Relationship Id="rId14" Type="http://schemas.openxmlformats.org/officeDocument/2006/relationships/hyperlink" Target="https://medeanalytics.com/blog/where-generative-ai-and-healthcare-interse/" TargetMode="External"/><Relationship Id="rId17" Type="http://schemas.openxmlformats.org/officeDocument/2006/relationships/hyperlink" Target="https://quantiphi.com/how-generative-ai-is-changing-healthcare-payers-from-fraud-detection-to-personalized-plans/" TargetMode="External"/><Relationship Id="rId16" Type="http://schemas.openxmlformats.org/officeDocument/2006/relationships/hyperlink" Target="https://www.nature.com/articles/d43747-020-00941-4" TargetMode="External"/><Relationship Id="rId5" Type="http://schemas.openxmlformats.org/officeDocument/2006/relationships/styles" Target="styles.xml"/><Relationship Id="rId19" Type="http://schemas.openxmlformats.org/officeDocument/2006/relationships/hyperlink" Target="https://doi.org/10.1111/cts.12884" TargetMode="External"/><Relationship Id="rId6" Type="http://schemas.openxmlformats.org/officeDocument/2006/relationships/hyperlink" Target="https://doi.org/10.1155/2019/6048748" TargetMode="External"/><Relationship Id="rId18" Type="http://schemas.openxmlformats.org/officeDocument/2006/relationships/hyperlink" Target="https://www.tempus.com/news/tempus-announces-real-world-data-driven-program-to-accelerate-precision-oncology-research/?srsltid=AfmBOop-n0kDPt3VjxxvCPc7n9zd0ZSEA8RMBVGANhL3DkG_rZvyfG4U" TargetMode="External"/><Relationship Id="rId7" Type="http://schemas.openxmlformats.org/officeDocument/2006/relationships/hyperlink" Target="https://doi.org/10.1007/3-540-18579-8_24" TargetMode="External"/><Relationship Id="rId8" Type="http://schemas.openxmlformats.org/officeDocument/2006/relationships/hyperlink" Target="https://www.merckmanuals.com/professional/special-subjects/clinical-decision-making/introduction-to-clinical-decision-mak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