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A9F53">
      <w:pPr>
        <w:jc w:val="center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CRITERIA (TEACHING)</w:t>
      </w:r>
    </w:p>
    <w:p w14:paraId="11C831B8">
      <w:pPr>
        <w:jc w:val="center"/>
        <w:rPr>
          <w:rFonts w:hint="default"/>
          <w:b/>
          <w:bCs/>
          <w:lang w:val="en-PH"/>
        </w:rPr>
      </w:pPr>
    </w:p>
    <w:p w14:paraId="68589F6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 xml:space="preserve">The comparative degree of competence and qualification of 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>faculty and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PH" w:eastAsia="zh-CN" w:bidi="ar"/>
        </w:rPr>
        <w:t xml:space="preserve"> 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>non-teaching personnel shall be determined on the basis of the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PH" w:eastAsia="zh-CN" w:bidi="ar"/>
        </w:rPr>
        <w:t xml:space="preserve"> 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>following criteria:</w:t>
      </w:r>
    </w:p>
    <w:p w14:paraId="3294976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80"/>
        <w:gridCol w:w="1521"/>
        <w:gridCol w:w="3119"/>
      </w:tblGrid>
      <w:tr w14:paraId="309F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80" w:type="dxa"/>
          </w:tcPr>
          <w:p w14:paraId="2DC0AF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Criteria for Evaluation</w:t>
            </w:r>
          </w:p>
        </w:tc>
        <w:tc>
          <w:tcPr>
            <w:tcW w:w="1521" w:type="dxa"/>
          </w:tcPr>
          <w:p w14:paraId="12E03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Weight (%)</w:t>
            </w:r>
          </w:p>
        </w:tc>
        <w:tc>
          <w:tcPr>
            <w:tcW w:w="3119" w:type="dxa"/>
          </w:tcPr>
          <w:p w14:paraId="782D1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Notes</w:t>
            </w:r>
          </w:p>
        </w:tc>
      </w:tr>
      <w:tr w14:paraId="3BB3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20A62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Performance</w:t>
            </w:r>
          </w:p>
        </w:tc>
        <w:tc>
          <w:tcPr>
            <w:tcW w:w="1521" w:type="dxa"/>
          </w:tcPr>
          <w:p w14:paraId="0941ED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30</w:t>
            </w:r>
          </w:p>
        </w:tc>
        <w:tc>
          <w:tcPr>
            <w:tcW w:w="3119" w:type="dxa"/>
          </w:tcPr>
          <w:p w14:paraId="4A179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Must have at least Very Satisfactory rating; for new entrants, assessed via demonstration teaching.</w:t>
            </w:r>
          </w:p>
        </w:tc>
      </w:tr>
      <w:tr w14:paraId="6EB9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27F70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Education</w:t>
            </w:r>
          </w:p>
        </w:tc>
        <w:tc>
          <w:tcPr>
            <w:tcW w:w="1521" w:type="dxa"/>
          </w:tcPr>
          <w:p w14:paraId="315510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25</w:t>
            </w:r>
          </w:p>
        </w:tc>
        <w:tc>
          <w:tcPr>
            <w:tcW w:w="3119" w:type="dxa"/>
          </w:tcPr>
          <w:p w14:paraId="59B12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Doctorate = 25 pts; Completion of Academic Requirements (Doctorate) = 22 pts; Master’s Degree = 20 pts.</w:t>
            </w:r>
          </w:p>
        </w:tc>
      </w:tr>
      <w:tr w14:paraId="504C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61A67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Relevant Work Experience</w:t>
            </w:r>
          </w:p>
        </w:tc>
        <w:tc>
          <w:tcPr>
            <w:tcW w:w="1521" w:type="dxa"/>
          </w:tcPr>
          <w:p w14:paraId="69D37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</w:t>
            </w:r>
          </w:p>
        </w:tc>
        <w:tc>
          <w:tcPr>
            <w:tcW w:w="3119" w:type="dxa"/>
          </w:tcPr>
          <w:p w14:paraId="12617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Must be related to teaching, research, or extension functions. Volunteer work, job order, or designation experience may be credited.</w:t>
            </w:r>
          </w:p>
        </w:tc>
      </w:tr>
      <w:tr w14:paraId="0266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55F16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Relevant Training / Seminar Workshops</w:t>
            </w:r>
          </w:p>
        </w:tc>
        <w:tc>
          <w:tcPr>
            <w:tcW w:w="1521" w:type="dxa"/>
          </w:tcPr>
          <w:p w14:paraId="37C97D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</w:t>
            </w:r>
          </w:p>
        </w:tc>
        <w:tc>
          <w:tcPr>
            <w:tcW w:w="3119" w:type="dxa"/>
          </w:tcPr>
          <w:p w14:paraId="375C3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Local (.25 pts/hr), Regional (.50 pts/hr), National (.75 pts/hr), International (1 pt/hr).</w:t>
            </w:r>
          </w:p>
        </w:tc>
      </w:tr>
      <w:tr w14:paraId="4986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1CB9A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Potential</w:t>
            </w:r>
          </w:p>
        </w:tc>
        <w:tc>
          <w:tcPr>
            <w:tcW w:w="1521" w:type="dxa"/>
          </w:tcPr>
          <w:p w14:paraId="54371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</w:t>
            </w:r>
          </w:p>
        </w:tc>
        <w:tc>
          <w:tcPr>
            <w:tcW w:w="3119" w:type="dxa"/>
          </w:tcPr>
          <w:p w14:paraId="67E03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Leadership, innovation, and capacity for growth.</w:t>
            </w:r>
          </w:p>
        </w:tc>
      </w:tr>
      <w:tr w14:paraId="2E24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7D98E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Outstanding Accomplishments / Contributions</w:t>
            </w:r>
          </w:p>
        </w:tc>
        <w:tc>
          <w:tcPr>
            <w:tcW w:w="1521" w:type="dxa"/>
          </w:tcPr>
          <w:p w14:paraId="6A4E6B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</w:p>
        </w:tc>
        <w:tc>
          <w:tcPr>
            <w:tcW w:w="3119" w:type="dxa"/>
          </w:tcPr>
          <w:p w14:paraId="12606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Publications, awards, extension projects, innovations.</w:t>
            </w:r>
          </w:p>
        </w:tc>
      </w:tr>
      <w:tr w14:paraId="7E7A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06B7B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Psychosocial Attributes &amp; Personality Traits</w:t>
            </w:r>
          </w:p>
        </w:tc>
        <w:tc>
          <w:tcPr>
            <w:tcW w:w="1521" w:type="dxa"/>
          </w:tcPr>
          <w:p w14:paraId="4EE2BD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</w:p>
        </w:tc>
        <w:tc>
          <w:tcPr>
            <w:tcW w:w="3119" w:type="dxa"/>
          </w:tcPr>
          <w:p w14:paraId="14C5E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Professionalism, teamwork, adaptability.</w:t>
            </w:r>
          </w:p>
        </w:tc>
      </w:tr>
      <w:tr w14:paraId="36C7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7BC55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Written Examination</w:t>
            </w:r>
          </w:p>
        </w:tc>
        <w:tc>
          <w:tcPr>
            <w:tcW w:w="1521" w:type="dxa"/>
          </w:tcPr>
          <w:p w14:paraId="325DDA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  <w:bookmarkStart w:id="0" w:name="_GoBack"/>
            <w:bookmarkEnd w:id="0"/>
          </w:p>
        </w:tc>
        <w:tc>
          <w:tcPr>
            <w:tcW w:w="3119" w:type="dxa"/>
          </w:tcPr>
          <w:p w14:paraId="23963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Subject-matter competency test.</w:t>
            </w:r>
          </w:p>
        </w:tc>
      </w:tr>
      <w:tr w14:paraId="7068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80" w:type="dxa"/>
          </w:tcPr>
          <w:p w14:paraId="5D2802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Total</w:t>
            </w:r>
          </w:p>
        </w:tc>
        <w:tc>
          <w:tcPr>
            <w:tcW w:w="1521" w:type="dxa"/>
          </w:tcPr>
          <w:p w14:paraId="4F5DC6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100%</w:t>
            </w:r>
          </w:p>
        </w:tc>
        <w:tc>
          <w:tcPr>
            <w:tcW w:w="3119" w:type="dxa"/>
          </w:tcPr>
          <w:p w14:paraId="2727D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-</w:t>
            </w:r>
          </w:p>
        </w:tc>
      </w:tr>
    </w:tbl>
    <w:p w14:paraId="306B24E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</w:pPr>
    </w:p>
    <w:p w14:paraId="7D56487E">
      <w:pPr>
        <w:jc w:val="center"/>
        <w:rPr>
          <w:rFonts w:hint="default"/>
          <w:b/>
          <w:bCs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4151B"/>
    <w:rsid w:val="3454151B"/>
    <w:rsid w:val="662B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2026-02-19T12:30:00Z</dcterms:created>
  <dc:creator>Jennylou Velasco</dc:creator>
  <cp:lastModifiedBy>Jennylou Velasco</cp:lastModifiedBy>
  <dcterms:modified xsi:type="dcterms:W3CDTF">2026-02-19T12:44:56Z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9254841CDF5F48AE98819C9E10485E01_11</vt:lpwstr>
  </property>
</Properties>
</file>