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MULTIVENT</w:t>
      </w:r>
    </w:p>
    <w:p>
      <w:pPr>
        <w:pStyle w:val="Subtitle"/>
        <w:jc w:val="center"/>
      </w:pPr>
      <w:r>
        <w:t>Programmer’s Chapter Manuscript — Black-and-White Print Edition</w:t>
      </w:r>
    </w:p>
    <w:p>
      <w:pPr>
        <w:jc w:val="center"/>
      </w:pPr>
      <w:r>
        <w:rPr>
          <w:b/>
          <w:color w:val="000000"/>
          <w:sz w:val="32"/>
        </w:rPr>
        <w:t>System Architecture, System Design, User Interface,</w:t>
        <w:br/>
        <w:t>Testing, and Evaluation</w:t>
      </w:r>
    </w:p>
    <w:p>
      <w:r>
        <w:br/>
      </w:r>
    </w:p>
    <w:p>
      <w:pPr>
        <w:jc w:val="center"/>
      </w:pPr>
      <w:r>
        <w:rPr>
          <w:b/>
        </w:rPr>
        <w:t>Implementation-grounded manuscript draft</w:t>
        <w:br/>
      </w:r>
      <w:r>
        <w:t>Prepared from the current MULTIVENT source code, database migrations,</w:t>
        <w:br/>
        <w:t>Supabase functions, and sentiment-training artifacts</w:t>
      </w:r>
    </w:p>
    <w:p>
      <w:r>
        <w:br/>
      </w:r>
    </w:p>
    <w:p>
      <w:pPr>
        <w:jc w:val="center"/>
      </w:pPr>
      <w:r>
        <w:t>Repository evidence reviewed: October 8, 2026</w:t>
        <w:br/>
      </w:r>
      <w:r>
        <w:t>Application workspace: D:\Multivent\Project-CaPoy\Capstone</w:t>
        <w:br/>
      </w:r>
      <w:r>
        <w:t>ML workspace: D:\Sentiment Training\multivent-sentiment</w:t>
      </w:r>
    </w:p>
    <w:p>
      <w:r>
        <w:br/>
      </w:r>
    </w:p>
    <w:p>
      <w:pPr>
        <w:jc w:val="center"/>
      </w:pPr>
      <w:r>
        <w:rPr>
          <w:i/>
        </w:rPr>
        <w:t>For manuscript integration by the programmer/researcher</w:t>
      </w:r>
    </w:p>
    <w:p>
      <w:r>
        <w:br w:type="page"/>
      </w:r>
    </w:p>
    <w:p>
      <w:pPr>
        <w:pStyle w:val="Heading1"/>
      </w:pPr>
      <w:r>
        <w:t>Document Scope and Evidence Rule</w:t>
      </w:r>
    </w:p>
    <w:p>
      <w:r>
        <w:t>This manuscript answers every item assigned in HARVEY&amp;CAANG.pdf that concerns the programmer: system architecture and its network, database, module, security, integration, and deployment views; system design; user-interface and input-screen layout; and system testing and evaluation. The text describes the system as implemented in the reviewed repository. Proposed features, live-service claims, and evaluation scores that are not supported by stored evidence are intentionally excluded.</w:t>
      </w:r>
    </w:p>
    <w:tbl>
      <w:tblPr>
        <w:tblStyle w:val="TableGrid"/>
        <w:tblW w:type="auto" w:w="0"/>
        <w:jc w:val="center"/>
        <w:tblLook w:firstColumn="1" w:firstRow="1" w:lastColumn="0" w:lastRow="0" w:noHBand="0" w:noVBand="1" w:val="04A0"/>
      </w:tblPr>
      <w:tblGrid>
        <w:gridCol w:w="9878"/>
      </w:tblGrid>
      <w:tr>
        <w:tc>
          <w:tcPr>
            <w:tcW w:type="dxa" w:w="9878"/>
            <w:shd w:fill="FFFFFF"/>
            <w:tcMar>
              <w:top w:w="120" w:type="dxa"/>
              <w:start w:w="150" w:type="dxa"/>
              <w:bottom w:w="120" w:type="dxa"/>
              <w:end w:w="150" w:type="dxa"/>
            </w:tcMar>
          </w:tcPr>
          <w:p>
            <w:pPr>
              <w:spacing w:after="60"/>
            </w:pPr>
            <w:r>
              <w:rPr>
                <w:b/>
                <w:color w:val="000000"/>
              </w:rPr>
              <w:t>Important reporting boundary</w:t>
            </w:r>
            <w:r>
              <w:br/>
              <w:t>The repository implements an internal payment-record and accounting workflow, but the reviewed code uses generated demo payment references rather than a confirmed external payment-gateway integration. Likewise, the Azure container files establish a deployment target for the sentiment service; they do not, by themselves, prove that a production instance is currently online. UAT, Lighthouse, and ISO/IEC 25010 instruments are provided, but their scores must be filled only after actual evaluation.</w:t>
            </w:r>
          </w:p>
        </w:tc>
      </w:tr>
    </w:tbl>
    <w:p/>
    <w:p>
      <w:pPr>
        <w:pStyle w:val="Heading1"/>
      </w:pPr>
      <w:r>
        <w:t>System Overview</w:t>
      </w:r>
    </w:p>
    <w:p>
      <w:r>
        <w:t>MULTIVENT is a role-based event-services marketplace and planning application implemented with React Native/Expo and Supabase. Clients create events, distribute a budget, browse budget-aware recommendations, select one active service per category, optionally engage a paid event coordinator or a coordinator-curated package, submit booking requests, record payments, communicate, and review completed services. Providers manage listings, packages, availability, booking decisions, earnings, and payout requests. Coordinators operate as independently bookable providers and manage profiles, curated packages, assignments, tasks, and remittance views. Authorized staff manage accounts, access, listings, support, finance, audit, and configuration through role and permission controls.</w:t>
      </w:r>
    </w:p>
    <w:p>
      <w:r>
        <w:t>The current revision centralizes event-aware pricing. Catering uses a provider-defined menu option and the event guest count. Venue selection uses provider-defined venue options and the client’s requested booking hours while enforcing capacity, minimum/maximum duration, schedule, setup, and operating rules. Selected values and calculated amounts are snapshotted so later listing edits do not silently rewrite the transaction history.</w:t>
      </w:r>
    </w:p>
    <w:p>
      <w:r>
        <w:br w:type="page"/>
      </w:r>
    </w:p>
    <w:p>
      <w:pPr>
        <w:pStyle w:val="Heading1"/>
      </w:pPr>
      <w:r>
        <w:t>Table of Contents</w:t>
      </w:r>
    </w:p>
    <w:p>
      <w:pPr>
        <w:jc w:val="left"/>
      </w:pPr>
      <w:r>
        <w:fldChar w:fldCharType="begin"/>
        <w:instrText xml:space="preserve"> TOC \o "1-3" \h \z \u </w:instrText>
        <w:fldChar w:fldCharType="separate"/>
        <w:t>Open in Microsoft Word and update this field to generate the table of contents.</w:t>
        <w:fldChar w:fldCharType="end"/>
      </w:r>
    </w:p>
    <w:p>
      <w:r>
        <w:br w:type="page"/>
      </w:r>
    </w:p>
    <w:p>
      <w:pPr>
        <w:pStyle w:val="Heading1"/>
      </w:pPr>
      <w:r>
        <w:t>3.6 System Architecture</w:t>
      </w:r>
    </w:p>
    <w:p>
      <w:r>
        <w:t>MULTIVENT follows a layered client–backend–service architecture. A single Expo codebase supplies the mobile and web interface, while Supabase supplies authentication, PostgreSQL persistence, RPCs, Row Level Security (RLS), Edge Functions, object storage, and realtime-capable communication. A separate FastAPI sentiment service performs NLP inference and is reached only through server-side Edge Functions. This separation keeps role-specific presentation, transactional business rules, durable data, and machine-learning inference in independently controlled layers.</w:t>
      </w:r>
    </w:p>
    <w:p>
      <w:pPr>
        <w:spacing w:after="60"/>
        <w:jc w:val="center"/>
      </w:pPr>
      <w:r>
        <w:drawing>
          <wp:inline xmlns:a="http://schemas.openxmlformats.org/drawingml/2006/main" xmlns:pic="http://schemas.openxmlformats.org/drawingml/2006/picture">
            <wp:extent cx="6080760" cy="357733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3577336"/>
                    </a:xfrm>
                    <a:prstGeom prst="rect"/>
                  </pic:spPr>
                </pic:pic>
              </a:graphicData>
            </a:graphic>
          </wp:inline>
        </w:drawing>
      </w:r>
    </w:p>
    <w:p>
      <w:pPr>
        <w:keepNext/>
        <w:jc w:val="center"/>
      </w:pPr>
      <w:r>
        <w:rPr>
          <w:b/>
          <w:color w:val="000000"/>
          <w:sz w:val="18"/>
        </w:rPr>
        <w:t>Figure 3.6-1. High-level architecture of the implemented MULTIVENT system.</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1800"/>
            <w:vAlign w:val="center"/>
            <w:tcMar>
              <w:top w:w="70" w:type="dxa"/>
              <w:start w:w="90" w:type="dxa"/>
              <w:bottom w:w="70" w:type="dxa"/>
              <w:end w:w="90" w:type="dxa"/>
            </w:tcMar>
            <w:shd w:fill="000000"/>
          </w:tcPr>
          <w:p>
            <w:pPr>
              <w:spacing w:after="0"/>
            </w:pPr>
            <w:r/>
            <w:r>
              <w:rPr>
                <w:rFonts w:ascii="Times New Roman" w:hAnsi="Times New Roman"/>
                <w:b/>
                <w:color w:val="FFFFFF"/>
                <w:sz w:val="16"/>
              </w:rPr>
              <w:t>Layer</w:t>
            </w:r>
          </w:p>
        </w:tc>
        <w:tc>
          <w:tcPr>
            <w:tcW w:type="dxa" w:w="5040"/>
            <w:vAlign w:val="center"/>
            <w:tcMar>
              <w:top w:w="70" w:type="dxa"/>
              <w:start w:w="90" w:type="dxa"/>
              <w:bottom w:w="70" w:type="dxa"/>
              <w:end w:w="90" w:type="dxa"/>
            </w:tcMar>
            <w:shd w:fill="000000"/>
          </w:tcPr>
          <w:p>
            <w:pPr>
              <w:spacing w:after="0"/>
            </w:pPr>
            <w:r/>
            <w:r>
              <w:rPr>
                <w:rFonts w:ascii="Times New Roman" w:hAnsi="Times New Roman"/>
                <w:b/>
                <w:color w:val="FFFFFF"/>
                <w:sz w:val="16"/>
              </w:rPr>
              <w:t>Implemented responsibility</w:t>
            </w:r>
          </w:p>
        </w:tc>
        <w:tc>
          <w:tcPr>
            <w:tcW w:type="dxa" w:w="3096"/>
            <w:vAlign w:val="center"/>
            <w:tcMar>
              <w:top w:w="70" w:type="dxa"/>
              <w:start w:w="90" w:type="dxa"/>
              <w:bottom w:w="70" w:type="dxa"/>
              <w:end w:w="90" w:type="dxa"/>
            </w:tcMar>
            <w:shd w:fill="000000"/>
          </w:tcPr>
          <w:p>
            <w:pPr>
              <w:spacing w:after="0"/>
            </w:pPr>
            <w:r/>
            <w:r>
              <w:rPr>
                <w:rFonts w:ascii="Times New Roman" w:hAnsi="Times New Roman"/>
                <w:b/>
                <w:color w:val="FFFFFF"/>
                <w:sz w:val="16"/>
              </w:rPr>
              <w:t>Principal technology</w:t>
            </w:r>
          </w:p>
        </w:tc>
      </w:tr>
      <w:tr>
        <w:trPr>
          <w:cantSplit/>
        </w:trPr>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6"/>
              </w:rPr>
              <w:t>Presentation</w:t>
            </w:r>
          </w:p>
        </w:tc>
        <w:tc>
          <w:tcPr>
            <w:tcW w:type="dxa" w:w="5040"/>
            <w:vAlign w:val="center"/>
            <w:tcMar>
              <w:top w:w="70" w:type="dxa"/>
              <w:start w:w="90" w:type="dxa"/>
              <w:bottom w:w="70" w:type="dxa"/>
              <w:end w:w="90" w:type="dxa"/>
            </w:tcMar>
            <w:shd w:fill="FFFFFF"/>
          </w:tcPr>
          <w:p>
            <w:pPr>
              <w:spacing w:after="0"/>
            </w:pPr>
            <w:r/>
            <w:r>
              <w:rPr>
                <w:rFonts w:ascii="Times New Roman" w:hAnsi="Times New Roman"/>
                <w:b w:val="0"/>
                <w:sz w:val="16"/>
              </w:rPr>
              <w:t>Responsive client, provider, coordinator, and staff screens; validation feedback and state</w:t>
            </w:r>
          </w:p>
        </w:tc>
        <w:tc>
          <w:tcPr>
            <w:tcW w:type="dxa" w:w="3096"/>
            <w:vAlign w:val="center"/>
            <w:tcMar>
              <w:top w:w="70" w:type="dxa"/>
              <w:start w:w="90" w:type="dxa"/>
              <w:bottom w:w="70" w:type="dxa"/>
              <w:end w:w="90" w:type="dxa"/>
            </w:tcMar>
            <w:shd w:fill="FFFFFF"/>
          </w:tcPr>
          <w:p>
            <w:pPr>
              <w:spacing w:after="0"/>
            </w:pPr>
            <w:r/>
            <w:r>
              <w:rPr>
                <w:rFonts w:ascii="Times New Roman" w:hAnsi="Times New Roman"/>
                <w:b w:val="0"/>
                <w:sz w:val="16"/>
              </w:rPr>
              <w:t>React Native 0.86, React 19, Expo 57, React Native Web</w:t>
            </w:r>
          </w:p>
        </w:tc>
      </w:tr>
      <w:tr>
        <w:trPr>
          <w:cantSplit/>
        </w:trPr>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6"/>
              </w:rPr>
              <w:t>Application access</w:t>
            </w:r>
          </w:p>
        </w:tc>
        <w:tc>
          <w:tcPr>
            <w:tcW w:type="dxa" w:w="5040"/>
            <w:vAlign w:val="center"/>
            <w:tcMar>
              <w:top w:w="70" w:type="dxa"/>
              <w:start w:w="90" w:type="dxa"/>
              <w:bottom w:w="70" w:type="dxa"/>
              <w:end w:w="90" w:type="dxa"/>
            </w:tcMar>
            <w:shd w:fill="FFFFFF"/>
          </w:tcPr>
          <w:p>
            <w:pPr>
              <w:spacing w:after="0"/>
            </w:pPr>
            <w:r/>
            <w:r>
              <w:rPr>
                <w:rFonts w:ascii="Times New Roman" w:hAnsi="Times New Roman"/>
                <w:b w:val="0"/>
                <w:sz w:val="16"/>
              </w:rPr>
              <w:t>Session handling, role routing, data requests, Edge Function invocation</w:t>
            </w:r>
          </w:p>
        </w:tc>
        <w:tc>
          <w:tcPr>
            <w:tcW w:type="dxa" w:w="3096"/>
            <w:vAlign w:val="center"/>
            <w:tcMar>
              <w:top w:w="70" w:type="dxa"/>
              <w:start w:w="90" w:type="dxa"/>
              <w:bottom w:w="70" w:type="dxa"/>
              <w:end w:w="90" w:type="dxa"/>
            </w:tcMar>
            <w:shd w:fill="FFFFFF"/>
          </w:tcPr>
          <w:p>
            <w:pPr>
              <w:spacing w:after="0"/>
            </w:pPr>
            <w:r/>
            <w:r>
              <w:rPr>
                <w:rFonts w:ascii="Times New Roman" w:hAnsi="Times New Roman"/>
                <w:b w:val="0"/>
                <w:sz w:val="16"/>
              </w:rPr>
              <w:t>TypeScript, Supabase JavaScript client</w:t>
            </w:r>
          </w:p>
        </w:tc>
      </w:tr>
      <w:tr>
        <w:trPr>
          <w:cantSplit/>
        </w:trPr>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6"/>
              </w:rPr>
              <w:t>Business/data</w:t>
            </w:r>
          </w:p>
        </w:tc>
        <w:tc>
          <w:tcPr>
            <w:tcW w:type="dxa" w:w="5040"/>
            <w:vAlign w:val="center"/>
            <w:tcMar>
              <w:top w:w="70" w:type="dxa"/>
              <w:start w:w="90" w:type="dxa"/>
              <w:bottom w:w="70" w:type="dxa"/>
              <w:end w:w="90" w:type="dxa"/>
            </w:tcMar>
            <w:shd w:fill="FFFFFF"/>
          </w:tcPr>
          <w:p>
            <w:pPr>
              <w:spacing w:after="0"/>
            </w:pPr>
            <w:r/>
            <w:r>
              <w:rPr>
                <w:rFonts w:ascii="Times New Roman" w:hAnsi="Times New Roman"/>
                <w:b w:val="0"/>
                <w:sz w:val="16"/>
              </w:rPr>
              <w:t>RLS, transactional RPCs, constraints, triggers, snapshots, audit and notification records</w:t>
            </w:r>
          </w:p>
        </w:tc>
        <w:tc>
          <w:tcPr>
            <w:tcW w:type="dxa" w:w="3096"/>
            <w:vAlign w:val="center"/>
            <w:tcMar>
              <w:top w:w="70" w:type="dxa"/>
              <w:start w:w="90" w:type="dxa"/>
              <w:bottom w:w="70" w:type="dxa"/>
              <w:end w:w="90" w:type="dxa"/>
            </w:tcMar>
            <w:shd w:fill="FFFFFF"/>
          </w:tcPr>
          <w:p>
            <w:pPr>
              <w:spacing w:after="0"/>
            </w:pPr>
            <w:r/>
            <w:r>
              <w:rPr>
                <w:rFonts w:ascii="Times New Roman" w:hAnsi="Times New Roman"/>
                <w:b w:val="0"/>
                <w:sz w:val="16"/>
              </w:rPr>
              <w:t>Supabase PostgreSQL</w:t>
            </w:r>
          </w:p>
        </w:tc>
      </w:tr>
      <w:tr>
        <w:trPr>
          <w:cantSplit/>
        </w:trPr>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6"/>
              </w:rPr>
              <w:t>Serverless integration</w:t>
            </w:r>
          </w:p>
        </w:tc>
        <w:tc>
          <w:tcPr>
            <w:tcW w:type="dxa" w:w="5040"/>
            <w:vAlign w:val="center"/>
            <w:tcMar>
              <w:top w:w="70" w:type="dxa"/>
              <w:start w:w="90" w:type="dxa"/>
              <w:bottom w:w="70" w:type="dxa"/>
              <w:end w:w="90" w:type="dxa"/>
            </w:tcMar>
            <w:shd w:fill="FFFFFF"/>
          </w:tcPr>
          <w:p>
            <w:pPr>
              <w:spacing w:after="0"/>
            </w:pPr>
            <w:r/>
            <w:r>
              <w:rPr>
                <w:rFonts w:ascii="Times New Roman" w:hAnsi="Times New Roman"/>
                <w:b w:val="0"/>
                <w:sz w:val="16"/>
              </w:rPr>
              <w:t>Privileged account tasks and secure review/feedback analysis orchestration</w:t>
            </w:r>
          </w:p>
        </w:tc>
        <w:tc>
          <w:tcPr>
            <w:tcW w:type="dxa" w:w="3096"/>
            <w:vAlign w:val="center"/>
            <w:tcMar>
              <w:top w:w="70" w:type="dxa"/>
              <w:start w:w="90" w:type="dxa"/>
              <w:bottom w:w="70" w:type="dxa"/>
              <w:end w:w="90" w:type="dxa"/>
            </w:tcMar>
            <w:shd w:fill="FFFFFF"/>
          </w:tcPr>
          <w:p>
            <w:pPr>
              <w:spacing w:after="0"/>
            </w:pPr>
            <w:r/>
            <w:r>
              <w:rPr>
                <w:rFonts w:ascii="Times New Roman" w:hAnsi="Times New Roman"/>
                <w:b w:val="0"/>
                <w:sz w:val="16"/>
              </w:rPr>
              <w:t>Supabase Edge Functions (Deno/TypeScript)</w:t>
            </w:r>
          </w:p>
        </w:tc>
      </w:tr>
      <w:tr>
        <w:trPr>
          <w:cantSplit/>
        </w:trPr>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6"/>
              </w:rPr>
              <w:t>NLP service</w:t>
            </w:r>
          </w:p>
        </w:tc>
        <w:tc>
          <w:tcPr>
            <w:tcW w:type="dxa" w:w="5040"/>
            <w:vAlign w:val="center"/>
            <w:tcMar>
              <w:top w:w="70" w:type="dxa"/>
              <w:start w:w="90" w:type="dxa"/>
              <w:bottom w:w="70" w:type="dxa"/>
              <w:end w:w="90" w:type="dxa"/>
            </w:tcMar>
            <w:shd w:fill="FFFFFF"/>
          </w:tcPr>
          <w:p>
            <w:pPr>
              <w:spacing w:after="0"/>
            </w:pPr>
            <w:r/>
            <w:r>
              <w:rPr>
                <w:rFonts w:ascii="Times New Roman" w:hAnsi="Times New Roman"/>
                <w:b w:val="0"/>
                <w:sz w:val="16"/>
              </w:rPr>
              <w:t>Normalization, LDA topic inference, FAISS retrieval, structured sentiment and summaries</w:t>
            </w:r>
          </w:p>
        </w:tc>
        <w:tc>
          <w:tcPr>
            <w:tcW w:type="dxa" w:w="3096"/>
            <w:vAlign w:val="center"/>
            <w:tcMar>
              <w:top w:w="70" w:type="dxa"/>
              <w:start w:w="90" w:type="dxa"/>
              <w:bottom w:w="70" w:type="dxa"/>
              <w:end w:w="90" w:type="dxa"/>
            </w:tcMar>
            <w:shd w:fill="FFFFFF"/>
          </w:tcPr>
          <w:p>
            <w:pPr>
              <w:spacing w:after="0"/>
            </w:pPr>
            <w:r/>
            <w:r>
              <w:rPr>
                <w:rFonts w:ascii="Times New Roman" w:hAnsi="Times New Roman"/>
                <w:b w:val="0"/>
                <w:sz w:val="16"/>
              </w:rPr>
              <w:t>Python, FastAPI, scikit-learn, Sentence Transformers, FAISS, OpenAI API</w:t>
            </w:r>
          </w:p>
        </w:tc>
      </w:tr>
    </w:tbl>
    <w:p/>
    <w:p>
      <w:pPr>
        <w:pStyle w:val="Heading2"/>
      </w:pPr>
      <w:r>
        <w:t>3.6.1 Network Architecture</w:t>
      </w:r>
    </w:p>
    <w:p>
      <w:r>
        <w:t>The client communicates with Supabase through its hosted HTTPS interfaces. Authentication produces a session/JWT used by PostgREST, RPC, Storage, and Edge Function calls. PostgreSQL applies the token’s user identity to RLS and function-level ownership tests. The application never receives the service-role key, sentiment-service URL secret, or analysis API key. For comment analysis, an authenticated client invokes an Edge Function; the function validates the user and record, calls the protected Python service with an X-Analysis-Key header, validates the JSON result, and writes the approved fields back to PostgreSQL.</w:t>
      </w:r>
    </w:p>
    <w:p>
      <w:pPr>
        <w:spacing w:after="60"/>
        <w:jc w:val="center"/>
      </w:pPr>
      <w:r>
        <w:drawing>
          <wp:inline xmlns:a="http://schemas.openxmlformats.org/drawingml/2006/main" xmlns:pic="http://schemas.openxmlformats.org/drawingml/2006/picture">
            <wp:extent cx="6080760" cy="3577336"/>
            <wp:docPr id="2" name="Picture 2"/>
            <wp:cNvGraphicFramePr>
              <a:graphicFrameLocks noChangeAspect="1"/>
            </wp:cNvGraphicFramePr>
            <a:graphic>
              <a:graphicData uri="http://schemas.openxmlformats.org/drawingml/2006/picture">
                <pic:pic>
                  <pic:nvPicPr>
                    <pic:cNvPr id="0" name="network.png"/>
                    <pic:cNvPicPr/>
                  </pic:nvPicPr>
                  <pic:blipFill>
                    <a:blip r:embed="rId12"/>
                    <a:stretch>
                      <a:fillRect/>
                    </a:stretch>
                  </pic:blipFill>
                  <pic:spPr>
                    <a:xfrm>
                      <a:off x="0" y="0"/>
                      <a:ext cx="6080760" cy="3577336"/>
                    </a:xfrm>
                    <a:prstGeom prst="rect"/>
                  </pic:spPr>
                </pic:pic>
              </a:graphicData>
            </a:graphic>
          </wp:inline>
        </w:drawing>
      </w:r>
    </w:p>
    <w:p>
      <w:pPr>
        <w:keepNext/>
        <w:jc w:val="center"/>
      </w:pPr>
      <w:r>
        <w:rPr>
          <w:b/>
          <w:color w:val="000000"/>
          <w:sz w:val="18"/>
        </w:rPr>
        <w:t>Figure 3.6.1-1. Network paths, trust boundaries, and data exchange.</w:t>
      </w:r>
    </w:p>
    <w:p>
      <w:r>
        <w:t>Connectivity, performance, and security are addressed as follows:</w:t>
      </w:r>
    </w:p>
    <w:p>
      <w:pPr>
        <w:pStyle w:val="ListBullet"/>
        <w:spacing w:after="60"/>
      </w:pPr>
      <w:r>
        <w:t>Connectivity: the Expo application can run on Android, iOS, and the web and uses environment-configured Supabase endpoints.</w:t>
      </w:r>
    </w:p>
    <w:p>
      <w:pPr>
        <w:pStyle w:val="ListBullet"/>
        <w:spacing w:after="60"/>
      </w:pPr>
      <w:r>
        <w:t>Performance: targeted RPCs and database indexes reduce client round trips; review summaries are cached and analysis exposes explicit pending/failed/completed states.</w:t>
      </w:r>
    </w:p>
    <w:p>
      <w:pPr>
        <w:pStyle w:val="ListBullet"/>
        <w:spacing w:after="60"/>
      </w:pPr>
      <w:r>
        <w:t>Security: authenticated requests carry user identity; RLS and owner-aware RPCs limit records; privileged secrets remain in Edge Function or container configuration.</w:t>
      </w:r>
    </w:p>
    <w:p>
      <w:pPr>
        <w:pStyle w:val="ListBullet"/>
        <w:spacing w:after="60"/>
      </w:pPr>
      <w:r>
        <w:t>Consistency: pricing, booking responses, package application, financial allocation, and category locking execute in database transactions rather than independent browser writes.</w:t>
      </w:r>
    </w:p>
    <w:p>
      <w:pPr>
        <w:pStyle w:val="ListBullet"/>
        <w:spacing w:after="60"/>
      </w:pPr>
      <w:r>
        <w:t>Failure handling: application modules return explicit errors, sentiment calls record retry/failure state, and financial actions either commit together or roll back.</w:t>
      </w:r>
    </w:p>
    <w:p>
      <w:pPr>
        <w:pStyle w:val="Heading2"/>
      </w:pPr>
      <w:r>
        <w:t>3.6.2 Database Model</w:t>
      </w:r>
    </w:p>
    <w:p>
      <w:r>
        <w:t>The relational model organizes users, marketplace supply, event demand, selections, bookings, finance, communication, governance, and review analysis. UUID primary keys identify major records. Foreign keys define ownership and lifecycle rules; unique and check constraints prevent invalid states; indexes support owner, status, schedule, and category access paths. JSONB is used only for structured category-specific details, immutable option/pricing snapshots, analysis metadata, and extensible audit payloads. Core identity, ownership, status, amounts, and relationships remain relational.</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Domain</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Principal tables</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Purpose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Identity and access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profiles, roles, permissions, role_permissions, user_roles, user_permissions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Accounts, status, role assignment, and fine-grained staff authorization</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Marketplace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provider_profiles, service_categories, services, service_packages, service_package_items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Provider identity, listings, category details, provider packages, and composed services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Planning</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events, event_requirements, event_budget_items, event_service_selections, event instructions/schedule checks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Event specification, category budgets, one-per-category choices, instructions, and conflict checks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Coordinator</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coordinator_service_profiles, coordinator_availability, coordinator_packages/items, assignment_attempts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Paid coordinator profiles, availability, curated packages, and explicit accept/reject attempts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Booking and finance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bookings, payments, financial_transactions, cash_remittances, payout accounts/requests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Booking state, payment snapshots, held/earned/released amounts, remittance, and payout workflow</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Communication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conversations, participants, messages, notifications, support_tickets/messages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In-app communication, alerts, and scoped customer support</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Quality and governance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reviews, event_feedback, service_review_summaries, audit_logs, system_settings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Ratings/comments, NLP outputs, cached summaries, audit trail, and configuration</w:t>
            </w:r>
          </w:p>
        </w:tc>
      </w:tr>
    </w:tbl>
    <w:p/>
    <w:p>
      <w:r>
        <w:t>A typical data flow begins with a client-owned event. Category allocations are attached to the event. A service selection references the real provider listing and captures selected catering or venue options. A booking then preserves the financial and option snapshots. Payment records feed the ledger, which keeps platform revenue, held provider funds, earned provider balance, and externally released payout values separate. Reviews are accepted only for qualifying booking relationships and may receive sentiment/topic metadata through the protected analysis workflow.</w:t>
      </w:r>
    </w:p>
    <w:p>
      <w:r>
        <w:t>Integrity and consistency are enforced through foreign keys, status and non-negative amount checks, unique indexes, one-service-per-category triggers, budget-total validation, event-aware quote RPCs, row locks, and versioned immutable snapshots. Security is enforced through RLS and explicit grants; sensitive administrative or financial mutations are exposed through authorized functions rather than unrestricted table writes.</w:t>
      </w:r>
    </w:p>
    <w:p>
      <w:pPr>
        <w:pStyle w:val="Heading3"/>
      </w:pPr>
      <w:r>
        <w:t>3.6.2.1 Entity–Relationship Diagram</w:t>
      </w:r>
    </w:p>
    <w:p>
      <w:r>
        <w:t>The implemented schema is divided into three ERD views so every foreign-key path and cardinality remains readable in print. Repeated entities represent the same physical table. Connector ends use both crow's-foot symbols and explicit minimum..maximum labels. All connector routes use horizontal and vertical segments.</w:t>
      </w:r>
    </w:p>
    <w:p>
      <w:pPr>
        <w:spacing w:after="60"/>
        <w:jc w:val="center"/>
      </w:pPr>
      <w:r>
        <w:drawing>
          <wp:inline xmlns:a="http://schemas.openxmlformats.org/drawingml/2006/main" xmlns:pic="http://schemas.openxmlformats.org/drawingml/2006/picture">
            <wp:extent cx="6172200" cy="4285185"/>
            <wp:docPr id="3" name="Picture 3"/>
            <wp:cNvGraphicFramePr>
              <a:graphicFrameLocks noChangeAspect="1"/>
            </wp:cNvGraphicFramePr>
            <a:graphic>
              <a:graphicData uri="http://schemas.openxmlformats.org/drawingml/2006/picture">
                <pic:pic>
                  <pic:nvPicPr>
                    <pic:cNvPr id="0" name="erd_marketplace.png"/>
                    <pic:cNvPicPr/>
                  </pic:nvPicPr>
                  <pic:blipFill>
                    <a:blip r:embed="rId13"/>
                    <a:stretch>
                      <a:fillRect/>
                    </a:stretch>
                  </pic:blipFill>
                  <pic:spPr>
                    <a:xfrm>
                      <a:off x="0" y="0"/>
                      <a:ext cx="6172200" cy="4285185"/>
                    </a:xfrm>
                    <a:prstGeom prst="rect"/>
                  </pic:spPr>
                </pic:pic>
              </a:graphicData>
            </a:graphic>
          </wp:inline>
        </w:drawing>
      </w:r>
    </w:p>
    <w:p>
      <w:pPr>
        <w:keepNext/>
        <w:jc w:val="center"/>
      </w:pPr>
      <w:r>
        <w:rPr>
          <w:b/>
          <w:color w:val="000000"/>
          <w:sz w:val="18"/>
        </w:rPr>
        <w:t>Figure 3.6.2.1-1. Marketplace and provider-package ERD with implemented cardinalities.</w:t>
      </w:r>
    </w:p>
    <w:p>
      <w:pPr>
        <w:spacing w:after="60"/>
        <w:jc w:val="center"/>
      </w:pPr>
      <w:r>
        <w:drawing>
          <wp:inline xmlns:a="http://schemas.openxmlformats.org/drawingml/2006/main" xmlns:pic="http://schemas.openxmlformats.org/drawingml/2006/picture">
            <wp:extent cx="6172200" cy="4037162"/>
            <wp:docPr id="4" name="Picture 4"/>
            <wp:cNvGraphicFramePr>
              <a:graphicFrameLocks noChangeAspect="1"/>
            </wp:cNvGraphicFramePr>
            <a:graphic>
              <a:graphicData uri="http://schemas.openxmlformats.org/drawingml/2006/picture">
                <pic:pic>
                  <pic:nvPicPr>
                    <pic:cNvPr id="0" name="erd_planning.png"/>
                    <pic:cNvPicPr/>
                  </pic:nvPicPr>
                  <pic:blipFill>
                    <a:blip r:embed="rId14"/>
                    <a:stretch>
                      <a:fillRect/>
                    </a:stretch>
                  </pic:blipFill>
                  <pic:spPr>
                    <a:xfrm>
                      <a:off x="0" y="0"/>
                      <a:ext cx="6172200" cy="4037162"/>
                    </a:xfrm>
                    <a:prstGeom prst="rect"/>
                  </pic:spPr>
                </pic:pic>
              </a:graphicData>
            </a:graphic>
          </wp:inline>
        </w:drawing>
      </w:r>
    </w:p>
    <w:p>
      <w:pPr>
        <w:keepNext/>
        <w:jc w:val="center"/>
      </w:pPr>
      <w:r>
        <w:rPr>
          <w:b/>
          <w:color w:val="000000"/>
          <w:sz w:val="18"/>
        </w:rPr>
        <w:t>Figure 3.6.2.1-2. Event planning and service-selection ERD.</w:t>
      </w:r>
    </w:p>
    <w:p>
      <w:pPr>
        <w:spacing w:after="60"/>
        <w:jc w:val="center"/>
      </w:pPr>
      <w:r>
        <w:drawing>
          <wp:inline xmlns:a="http://schemas.openxmlformats.org/drawingml/2006/main" xmlns:pic="http://schemas.openxmlformats.org/drawingml/2006/picture">
            <wp:extent cx="6172200" cy="4037162"/>
            <wp:docPr id="5" name="Picture 5"/>
            <wp:cNvGraphicFramePr>
              <a:graphicFrameLocks noChangeAspect="1"/>
            </wp:cNvGraphicFramePr>
            <a:graphic>
              <a:graphicData uri="http://schemas.openxmlformats.org/drawingml/2006/picture">
                <pic:pic>
                  <pic:nvPicPr>
                    <pic:cNvPr id="0" name="erd_booking.png"/>
                    <pic:cNvPicPr/>
                  </pic:nvPicPr>
                  <pic:blipFill>
                    <a:blip r:embed="rId15"/>
                    <a:stretch>
                      <a:fillRect/>
                    </a:stretch>
                  </pic:blipFill>
                  <pic:spPr>
                    <a:xfrm>
                      <a:off x="0" y="0"/>
                      <a:ext cx="6172200" cy="4037162"/>
                    </a:xfrm>
                    <a:prstGeom prst="rect"/>
                  </pic:spPr>
                </pic:pic>
              </a:graphicData>
            </a:graphic>
          </wp:inline>
        </w:drawing>
      </w:r>
    </w:p>
    <w:p>
      <w:pPr>
        <w:keepNext/>
        <w:jc w:val="center"/>
      </w:pPr>
      <w:r>
        <w:rPr>
          <w:b/>
          <w:color w:val="000000"/>
          <w:sz w:val="18"/>
        </w:rPr>
        <w:t>Figure 3.6.2.1-3. Booking, payment, ledger, and review ERD.</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Relationship</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Cardinality</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Implementation meaning</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Profile — Provider profile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1 : 0..1</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 user account may own one provider business profile.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Provider profile — Service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1 : 0..*</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Every service has one provider; a provider may publish many service listings.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Service category — Service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0..1 : 0..*</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The category FK is nullable; a category may group many services.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Client profile — Event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1 : 0..*</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Each event is owned by one client; a client may plan multiple events.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Event — Budget item</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1 : 0..*</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An event may have category allocations; Phase 7/9 keeps one versioned allocation per category.</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Event — Service selection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1 : 0..*</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An event may select services across categories; active Phase 9 choices are unique per category.</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Service — Event selection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0..1 : 0..*</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The selection FK may be cleared when a listing is removed; a service may appear in many selections.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Event — Booking</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1 : 0..*</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 booking belongs to exactly one event; an event may create multiple booking records.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Service — Booking</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1 : 0..*</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Every booking references one service; a service may be booked many times.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Booking — Payment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0..1 : 0..*</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 payment may reference one booking or use event scope; a booking may have multiple payment attempts.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Payment — Financial transaction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0..1 : 0..*</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 ledger row may retain one payment reference; a payment may produce multiple classified ledger entries.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Coordinator — Curated package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1 : 0..*</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 coordinator may own multiple packages that reference actual provider services.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Curated package — Service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many : many through items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Package items reference listings without copying provider ownership.</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Booking — Review</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1 : 0..1 per allowed review context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 completed relationship can yield a rating/comment with optional analysis.</w:t>
            </w:r>
          </w:p>
        </w:tc>
      </w:tr>
    </w:tbl>
    <w:p/>
    <w:p>
      <w:pPr>
        <w:pStyle w:val="Heading2"/>
      </w:pPr>
      <w:r>
        <w:t>3.6.3 Application/Module Architecture</w:t>
      </w:r>
    </w:p>
    <w:p>
      <w:r>
        <w:t>The application is organized around role-aware screens and shared TypeScript data libraries. App.tsx owns session-level navigation and routes users into client, provider, coordinator, or staff experiences. Screen components collect input and present states; library modules call Supabase tables, RPCs, and functions; SQL functions remain authoritative for cross-record rules and financial calculations. This design prevents a visual client from becoming the sole enforcement point.</w:t>
      </w:r>
    </w:p>
    <w:p>
      <w:pPr>
        <w:spacing w:after="60"/>
        <w:jc w:val="center"/>
      </w:pPr>
      <w:r>
        <w:drawing>
          <wp:inline xmlns:a="http://schemas.openxmlformats.org/drawingml/2006/main" xmlns:pic="http://schemas.openxmlformats.org/drawingml/2006/picture">
            <wp:extent cx="6080760" cy="4068064"/>
            <wp:docPr id="6" name="Picture 6"/>
            <wp:cNvGraphicFramePr>
              <a:graphicFrameLocks noChangeAspect="1"/>
            </wp:cNvGraphicFramePr>
            <a:graphic>
              <a:graphicData uri="http://schemas.openxmlformats.org/drawingml/2006/picture">
                <pic:pic>
                  <pic:nvPicPr>
                    <pic:cNvPr id="0" name="modules.png"/>
                    <pic:cNvPicPr/>
                  </pic:nvPicPr>
                  <pic:blipFill>
                    <a:blip r:embed="rId16"/>
                    <a:stretch>
                      <a:fillRect/>
                    </a:stretch>
                  </pic:blipFill>
                  <pic:spPr>
                    <a:xfrm>
                      <a:off x="0" y="0"/>
                      <a:ext cx="6080760" cy="4068064"/>
                    </a:xfrm>
                    <a:prstGeom prst="rect"/>
                  </pic:spPr>
                </pic:pic>
              </a:graphicData>
            </a:graphic>
          </wp:inline>
        </w:drawing>
      </w:r>
    </w:p>
    <w:p>
      <w:pPr>
        <w:keepNext/>
        <w:jc w:val="center"/>
      </w:pPr>
      <w:r>
        <w:rPr>
          <w:b/>
          <w:color w:val="000000"/>
          <w:sz w:val="18"/>
        </w:rPr>
        <w:t>Figure 3.6.3-1. Functional modules and their shared application/data services.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Module</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Responsibilities</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Key interaction</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Client planning</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Create event; specify schedule, guests, venue status; allocate budget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Feeds event-aware recommendation and pricing RPCs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Marketplace and selection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Browse categories/details, view provider options, choose one service per category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Stores option IDs, calculated totals, and immutable snapshots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Coordinator marketplace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Optional coordinator choice, fee preview, package selection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Creates explicit assignment request; providers still decide individually</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Booking and payment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Review selections, record payment choice, create requests, show receipt/status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Uses 5% fee, 40% initial requirement, 30% provider allocation and held-fund rules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Provider operations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Manage service listings/packages/availability, respond to requests, track earnings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Atomic response RPC credits only the accepting provider’s eligible initial share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Coordinator operations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Manage paid profile/packages, accept/reject assignments, view event tasks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Uses the same notification, financial, and event records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Communication/support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Chat, notifications, instructions, support tickets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Scopes participants and related event/booking references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Reviews and NLP</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Submit ratings/comments, display sentiment metadata and summaries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Edge Functions mediate the external Python service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Staff governance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Account/RBAC, listing review, finance/remittance, support, audit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Permission-checked functions and views expose only authorized operations</w:t>
            </w:r>
          </w:p>
        </w:tc>
      </w:tr>
    </w:tbl>
    <w:p/>
    <w:p>
      <w:r>
        <w:t>Data security is maintained by using the current authenticated identity in database policies and RPCs. Network security is maintained by hosted TLS endpoints and by keeping privileged keys outside the client. The application layer displays authorization-aware navigation, but database enforcement remains the final control even if a client screen is bypassed.</w:t>
      </w:r>
    </w:p>
    <w:p>
      <w:pPr>
        <w:pStyle w:val="Heading2"/>
      </w:pPr>
      <w:r>
        <w:t>3.6.4 Security Architecture</w:t>
      </w:r>
    </w:p>
    <w:p>
      <w:pPr>
        <w:spacing w:after="60"/>
        <w:jc w:val="center"/>
      </w:pPr>
      <w:r>
        <w:drawing>
          <wp:inline xmlns:a="http://schemas.openxmlformats.org/drawingml/2006/main" xmlns:pic="http://schemas.openxmlformats.org/drawingml/2006/picture">
            <wp:extent cx="6080760" cy="3577336"/>
            <wp:docPr id="7" name="Picture 7"/>
            <wp:cNvGraphicFramePr>
              <a:graphicFrameLocks noChangeAspect="1"/>
            </wp:cNvGraphicFramePr>
            <a:graphic>
              <a:graphicData uri="http://schemas.openxmlformats.org/drawingml/2006/picture">
                <pic:pic>
                  <pic:nvPicPr>
                    <pic:cNvPr id="0" name="security.png"/>
                    <pic:cNvPicPr/>
                  </pic:nvPicPr>
                  <pic:blipFill>
                    <a:blip r:embed="rId17"/>
                    <a:stretch>
                      <a:fillRect/>
                    </a:stretch>
                  </pic:blipFill>
                  <pic:spPr>
                    <a:xfrm>
                      <a:off x="0" y="0"/>
                      <a:ext cx="6080760" cy="3577336"/>
                    </a:xfrm>
                    <a:prstGeom prst="rect"/>
                  </pic:spPr>
                </pic:pic>
              </a:graphicData>
            </a:graphic>
          </wp:inline>
        </w:drawing>
      </w:r>
    </w:p>
    <w:p>
      <w:pPr>
        <w:keepNext/>
        <w:jc w:val="center"/>
      </w:pPr>
      <w:r>
        <w:rPr>
          <w:b/>
          <w:color w:val="000000"/>
          <w:sz w:val="18"/>
        </w:rPr>
        <w:t>Figure 3.6.4-1. Implemented defense-in-depth controls.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Security objective</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Implemented controls</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Effect</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Confidentiality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Supabase authentication; RLS; owner/participant tests; RBAC; server-side service-role and analysis secrets; audit redaction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Limits personal, financial, message, support, and analysis data to appropriate users and services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Integrity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Foreign keys; check/unique constraints; transactional security-definer RPCs with restricted grants; immutable snapshots; audit triggers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Prevents malformed relationships, unauthorized state changes, duplicate category choices, and silent historical repricing</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Availability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Hosted Supabase services; indexed queries; explicit retry/failure states for NLP; container health endpoint; retained transaction history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Supports recovery and diagnosis while allowing core ratings to exist even if optional text analysis fails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Accountability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User IDs on writes, audit logs, timestamps, assignment attempts, payment/ledger references, notifications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Connects consequential actions to actors and preserves an inspectable history</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Least privilege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Client uses anon/session credentials; elevated operations run only in Edge Functions or narrowly granted RPCs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Reduces exposure of administrative or service credentials</w:t>
            </w:r>
          </w:p>
        </w:tc>
      </w:tr>
    </w:tbl>
    <w:p/>
    <w:tbl>
      <w:tblPr>
        <w:tblStyle w:val="TableGrid"/>
        <w:tblW w:type="auto" w:w="0"/>
        <w:jc w:val="center"/>
        <w:tblLook w:firstColumn="1" w:firstRow="1" w:lastColumn="0" w:lastRow="0" w:noHBand="0" w:noVBand="1" w:val="04A0"/>
      </w:tblPr>
      <w:tblGrid>
        <w:gridCol w:w="9878"/>
      </w:tblGrid>
      <w:tr>
        <w:tc>
          <w:tcPr>
            <w:tcW w:type="dxa" w:w="9878"/>
            <w:shd w:fill="FFFFFF"/>
            <w:tcMar>
              <w:top w:w="120" w:type="dxa"/>
              <w:start w:w="150" w:type="dxa"/>
              <w:bottom w:w="120" w:type="dxa"/>
              <w:end w:w="150" w:type="dxa"/>
            </w:tcMar>
          </w:tcPr>
          <w:p>
            <w:pPr>
              <w:spacing w:after="60"/>
            </w:pPr>
            <w:r>
              <w:rPr>
                <w:b/>
                <w:color w:val="000000"/>
              </w:rPr>
              <w:t>Security limitation to report honestly</w:t>
            </w:r>
            <w:r>
              <w:br/>
              <w:t>The repository demonstrates application/database controls, but a full security assessment still requires deployed-environment configuration review, dependency scanning, penetration testing, backup/restore testing, and operational incident procedures.</w:t>
            </w:r>
          </w:p>
        </w:tc>
      </w:tr>
    </w:tbl>
    <w:p/>
    <w:p>
      <w:pPr>
        <w:pStyle w:val="Heading2"/>
      </w:pPr>
      <w:r>
        <w:t>3.6.5 Integration Architecture</w:t>
      </w:r>
    </w:p>
    <w:p>
      <w:r>
        <w:t>MULTIVENT integrates components through typed JSON/HTTPS calls and relational RPCs. The Expo client uses the Supabase JavaScript SDK for authentication, database, storage, and Edge Function operations. SQL RPCs provide authoritative calculations and multi-table transactions. Review and feedback Edge Functions convert application records into the Python API contract, attach server-held credentials, validate the response, and persist only expected analysis fields. The Python service loads versioned local LDA, encoder, and FAISS artifacts and calls the configured pre-trained model provider for schema-constrained sentiment or summaries.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Integration</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Exchange</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Interoperability / protection</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Expo ↔ Supabase Auth</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Credentials, session, recovery/verification state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Supabase SDK and JWT session; password values are not stored in public profile tables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Expo ↔ PostgreSQL</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Typed records and RPC parameters/results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PostgREST/SQL types, RLS, UUID keys, JSONB only where flexible structure is necessary</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Expo ↔ Storage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Service cover/gallery images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Image picker uploads and policy-controlled object access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Expo ↔ Edge Functions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Review/feedback analysis requests and privileged user creation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Authenticated invocation; service role remains server-side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Edge Functions ↔ Python API</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Comment text and structured analysis/summary JSON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Protected endpoint with X-Analysis-Key; response shape validation</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Python API ↔ OpenAI</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Prompt context and schema-constrained result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Server-side API credential; no direct device access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Offline data sources ↔ ML build</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Pinned/source-registered HiliSenti, MAMS, Booking, and UCI files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Checksums, licenses, manifests, deterministic splits, and leakage guards</w:t>
            </w:r>
          </w:p>
        </w:tc>
      </w:tr>
    </w:tbl>
    <w:p/>
    <w:p>
      <w:r>
        <w:t>No confirmed live PayMongo or equivalent payment-processor call was found in the reviewed runtime. The current payment flow creates internal records and a generated demo reference, then exercises allocation, hold, acceptance, balance, remittance, and payout-request logic inside MULTIVENT.</w:t>
      </w:r>
    </w:p>
    <w:p>
      <w:pPr>
        <w:pStyle w:val="Heading2"/>
      </w:pPr>
      <w:r>
        <w:t>3.6.6 Deployment Architecture</w:t>
      </w:r>
    </w:p>
    <w:p>
      <w:r>
        <w:t>The application can be built for Android, iOS, or the web through Expo/EAS profiles. The managed backend is a Supabase project to which ordered SQL migrations and Edge Functions are deployed. The NLP service has a Dockerfile configured for Python 3.13, CPU PyTorch, FastAPI/Uvicorn, packaged model/data/vector-store artifacts, and a configurable PORT defaulting to 8080. The repository documents Azure Container Apps as the intended container target. Secrets and endpoint values must be supplied as deployment configuration rather than embedded in the client bundle.</w:t>
      </w:r>
    </w:p>
    <w:p>
      <w:pPr>
        <w:spacing w:after="60"/>
        <w:jc w:val="center"/>
      </w:pPr>
      <w:r>
        <w:drawing>
          <wp:inline xmlns:a="http://schemas.openxmlformats.org/drawingml/2006/main" xmlns:pic="http://schemas.openxmlformats.org/drawingml/2006/picture">
            <wp:extent cx="6080760" cy="3577336"/>
            <wp:docPr id="8" name="Picture 8"/>
            <wp:cNvGraphicFramePr>
              <a:graphicFrameLocks noChangeAspect="1"/>
            </wp:cNvGraphicFramePr>
            <a:graphic>
              <a:graphicData uri="http://schemas.openxmlformats.org/drawingml/2006/picture">
                <pic:pic>
                  <pic:nvPicPr>
                    <pic:cNvPr id="0" name="deployment.png"/>
                    <pic:cNvPicPr/>
                  </pic:nvPicPr>
                  <pic:blipFill>
                    <a:blip r:embed="rId18"/>
                    <a:stretch>
                      <a:fillRect/>
                    </a:stretch>
                  </pic:blipFill>
                  <pic:spPr>
                    <a:xfrm>
                      <a:off x="0" y="0"/>
                      <a:ext cx="6080760" cy="3577336"/>
                    </a:xfrm>
                    <a:prstGeom prst="rect"/>
                  </pic:spPr>
                </pic:pic>
              </a:graphicData>
            </a:graphic>
          </wp:inline>
        </w:drawing>
      </w:r>
    </w:p>
    <w:p>
      <w:pPr>
        <w:keepNext/>
        <w:jc w:val="center"/>
      </w:pPr>
      <w:r>
        <w:rPr>
          <w:b/>
          <w:color w:val="000000"/>
          <w:sz w:val="18"/>
        </w:rPr>
        <w:t>Figure 3.6.6-1. Runtime and release/deployment topology.</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Node</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Minimum software / service</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Configuration responsibility</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User device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Supported Android/iOS device or modern browser; network connection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Install/open built application; grant selected media permissions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Application build</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Node/npm, Expo CLI/EAS-compatible environment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Supply public Supabase URL/anon configuration; build profile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Supabase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Auth, PostgreSQL, Storage, Edge Functions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Apply migrations in order; deploy functions; configure policies and server secrets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Sentiment container</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Docker-compatible runtime; CPU/memory sufficient for encoder/index</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Mount packaged artifacts; set provider/API secrets and analysis key; expose health/analyze endpoints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External provider</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Reachable OpenAI API account and model access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Store API key only in server environment; monitor provider errors and quotas</w:t>
            </w:r>
          </w:p>
        </w:tc>
      </w:tr>
    </w:tbl>
    <w:p/>
    <w:p>
      <w:r>
        <w:br w:type="page"/>
      </w:r>
    </w:p>
    <w:p>
      <w:pPr>
        <w:pStyle w:val="Heading1"/>
      </w:pPr>
      <w:r>
        <w:t>3.8 System Design</w:t>
      </w:r>
    </w:p>
    <w:p>
      <w:r>
        <w:t>Both permitted design views are included because they answer different questions. The use case diagram defines what each actor can do, while the data flow diagrams show how information moves through major processes and stores.</w:t>
      </w:r>
    </w:p>
    <w:p>
      <w:pPr>
        <w:pStyle w:val="Heading2"/>
      </w:pPr>
      <w:r>
        <w:t>3.8.1 Use Case Diagram</w:t>
      </w:r>
    </w:p>
    <w:p>
      <w:pPr>
        <w:spacing w:after="60"/>
        <w:jc w:val="center"/>
      </w:pPr>
      <w:r>
        <w:drawing>
          <wp:inline xmlns:a="http://schemas.openxmlformats.org/drawingml/2006/main" xmlns:pic="http://schemas.openxmlformats.org/drawingml/2006/picture">
            <wp:extent cx="6172200" cy="3981364"/>
            <wp:docPr id="9" name="Picture 9"/>
            <wp:cNvGraphicFramePr>
              <a:graphicFrameLocks noChangeAspect="1"/>
            </wp:cNvGraphicFramePr>
            <a:graphic>
              <a:graphicData uri="http://schemas.openxmlformats.org/drawingml/2006/picture">
                <pic:pic>
                  <pic:nvPicPr>
                    <pic:cNvPr id="0" name="use_case.png"/>
                    <pic:cNvPicPr/>
                  </pic:nvPicPr>
                  <pic:blipFill>
                    <a:blip r:embed="rId19"/>
                    <a:stretch>
                      <a:fillRect/>
                    </a:stretch>
                  </pic:blipFill>
                  <pic:spPr>
                    <a:xfrm>
                      <a:off x="0" y="0"/>
                      <a:ext cx="6172200" cy="3981364"/>
                    </a:xfrm>
                    <a:prstGeom prst="rect"/>
                  </pic:spPr>
                </pic:pic>
              </a:graphicData>
            </a:graphic>
          </wp:inline>
        </w:drawing>
      </w:r>
    </w:p>
    <w:p>
      <w:pPr>
        <w:keepNext/>
        <w:jc w:val="center"/>
      </w:pPr>
      <w:r>
        <w:rPr>
          <w:b/>
          <w:color w:val="000000"/>
          <w:sz w:val="18"/>
        </w:rPr>
        <w:t>Figure 3.8.1-1. Role-oriented use cases within the MULTIVENT boundary.</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Actor</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Implemented use cases</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Authorization boundary</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Client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Account access; event and budget planning; coordinator/service selection; payment records; messaging; instructions; reviews/feedback; support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Owned events, bookings, conversations, tickets, and allowed marketplace reads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Service Provider</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Provider profile; service/package creation; calendar/hours; booking acceptance/rejection; payment confirmation; earnings/payout account/request; messages/reviews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Records linked to the authenticated provider profile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Event Coordinator</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Paid profile; availability; assignment response; package curation; accepted-event details/tasks; remittance and communications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Pending/accepted assignments and coordinator-owned packages/profile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Authorized Staff</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Accounts, roles/permissions, listing moderation, support, finance/remittance, audit and settings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Permission-based staff operations; no blanket client-side privilege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NLP/model service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Analyze comments; infer topic; retrieve examples; produce binary sentiment and grounded summaries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Reached by server-side functions, not directly by end-user devices</w:t>
            </w:r>
          </w:p>
        </w:tc>
      </w:tr>
    </w:tbl>
    <w:p/>
    <w:p>
      <w:pPr>
        <w:pStyle w:val="Heading2"/>
      </w:pPr>
      <w:r>
        <w:t>3.8.2 Data Flow Diagram</w:t>
      </w:r>
    </w:p>
    <w:p>
      <w:pPr>
        <w:pStyle w:val="Heading3"/>
      </w:pPr>
      <w:r>
        <w:t>Level 0: Context Diagram</w:t>
      </w:r>
    </w:p>
    <w:p>
      <w:pPr>
        <w:spacing w:after="60"/>
        <w:jc w:val="center"/>
      </w:pPr>
      <w:r>
        <w:drawing>
          <wp:inline xmlns:a="http://schemas.openxmlformats.org/drawingml/2006/main" xmlns:pic="http://schemas.openxmlformats.org/drawingml/2006/picture">
            <wp:extent cx="6080760" cy="3577336"/>
            <wp:docPr id="10" name="Picture 10"/>
            <wp:cNvGraphicFramePr>
              <a:graphicFrameLocks noChangeAspect="1"/>
            </wp:cNvGraphicFramePr>
            <a:graphic>
              <a:graphicData uri="http://schemas.openxmlformats.org/drawingml/2006/picture">
                <pic:pic>
                  <pic:nvPicPr>
                    <pic:cNvPr id="0" name="dfd_context.png"/>
                    <pic:cNvPicPr/>
                  </pic:nvPicPr>
                  <pic:blipFill>
                    <a:blip r:embed="rId20"/>
                    <a:stretch>
                      <a:fillRect/>
                    </a:stretch>
                  </pic:blipFill>
                  <pic:spPr>
                    <a:xfrm>
                      <a:off x="0" y="0"/>
                      <a:ext cx="6080760" cy="3577336"/>
                    </a:xfrm>
                    <a:prstGeom prst="rect"/>
                  </pic:spPr>
                </pic:pic>
              </a:graphicData>
            </a:graphic>
          </wp:inline>
        </w:drawing>
      </w:r>
    </w:p>
    <w:p>
      <w:pPr>
        <w:keepNext/>
        <w:jc w:val="center"/>
      </w:pPr>
      <w:r>
        <w:rPr>
          <w:b/>
          <w:color w:val="000000"/>
          <w:sz w:val="18"/>
        </w:rPr>
        <w:t>Figure 3.8.2-1. Level 0 context diagram.</w:t>
      </w:r>
    </w:p>
    <w:p>
      <w:r>
        <w:t>At Level 0, MULTIVENT is treated as one process. Clients submit planning, service, payment, and review data and receive plans, quotes, booking states, receipts, and notifications. Providers and coordinators exchange marketplace definitions, availability, requests, decisions, balances, and event information. Staff receive controlled operational queues and submit authorized governance actions.</w:t>
      </w:r>
    </w:p>
    <w:p>
      <w:pPr>
        <w:pStyle w:val="Heading3"/>
      </w:pPr>
      <w:r>
        <w:t>Level 1: Major Processes and Data Stores</w:t>
      </w:r>
    </w:p>
    <w:p>
      <w:pPr>
        <w:spacing w:after="60"/>
        <w:jc w:val="center"/>
      </w:pPr>
      <w:r>
        <w:drawing>
          <wp:inline xmlns:a="http://schemas.openxmlformats.org/drawingml/2006/main" xmlns:pic="http://schemas.openxmlformats.org/drawingml/2006/picture">
            <wp:extent cx="6172200" cy="3981364"/>
            <wp:docPr id="11" name="Picture 11"/>
            <wp:cNvGraphicFramePr>
              <a:graphicFrameLocks noChangeAspect="1"/>
            </wp:cNvGraphicFramePr>
            <a:graphic>
              <a:graphicData uri="http://schemas.openxmlformats.org/drawingml/2006/picture">
                <pic:pic>
                  <pic:nvPicPr>
                    <pic:cNvPr id="0" name="dfd_level1.png"/>
                    <pic:cNvPicPr/>
                  </pic:nvPicPr>
                  <pic:blipFill>
                    <a:blip r:embed="rId21"/>
                    <a:stretch>
                      <a:fillRect/>
                    </a:stretch>
                  </pic:blipFill>
                  <pic:spPr>
                    <a:xfrm>
                      <a:off x="0" y="0"/>
                      <a:ext cx="6172200" cy="3981364"/>
                    </a:xfrm>
                    <a:prstGeom prst="rect"/>
                  </pic:spPr>
                </pic:pic>
              </a:graphicData>
            </a:graphic>
          </wp:inline>
        </w:drawing>
      </w:r>
    </w:p>
    <w:p>
      <w:pPr>
        <w:keepNext/>
        <w:jc w:val="center"/>
      </w:pPr>
      <w:r>
        <w:rPr>
          <w:b/>
          <w:color w:val="000000"/>
          <w:sz w:val="18"/>
        </w:rPr>
        <w:t>Figure 3.8.2-2. Level 1 processes and logical data stores.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Process</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Input</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Output / store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1.0 Identity and Access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Registration, login, verification, role choice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Authenticated profile and role/permission relationships (D1)</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2.0 Event Planning</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Event details, guest count, date/time, budget allocations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Event, requirements, schedule and category budget records (D2)</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3.0 Marketplace and Selection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Category, budget, option/package, catering menu, venue hours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Calculated quote and snapshotted event selection (D2/D3)</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4.0 Booking and Payment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Reviewed selections and payment choice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Booking requests, payment snapshot, held/provider/platform ledger entries (D4)</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5.0 Provider/Coordinator Operations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Listings, availability, accept/reject, packages, payout data</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Marketplace changes, decisions, balances, tasks and payouts (D3/D4)</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6.0 Messaging and Support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Participant messages, instructions, support concerns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Scoped conversations, notifications and tickets (D5)</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7.0 Reviews and NLP</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Rating and optional comment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Review, sentiment/topic metadata, references and cached summary (D5)</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8.0 Staff Governance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Permission-checked moderation and operational actions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Account/listing/support/finance state changes and redacted audit records (D1–D5)</w:t>
            </w:r>
          </w:p>
        </w:tc>
      </w:tr>
    </w:tbl>
    <w:p/>
    <w:p>
      <w:r>
        <w:br w:type="page"/>
      </w:r>
    </w:p>
    <w:p>
      <w:pPr>
        <w:pStyle w:val="Heading1"/>
      </w:pPr>
      <w:r>
        <w:t>3.9 User Interface Design</w:t>
      </w:r>
    </w:p>
    <w:p>
      <w:r>
        <w:t>MULTIVENT uses a shared visual system across client, provider, coordinator, and staff experiences. The interface is implemented with React Native components that also render on the web. Screens use cards, step indicators, bottom or role-specific navigation, clear primary actions, inline validation, empty/loading/error states, and responsive spacing. Wine and gold brand colors identify primary actions and headings while neutral surfaces preserve readability.</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70" w:type="dxa"/>
              <w:start w:w="90" w:type="dxa"/>
              <w:bottom w:w="70" w:type="dxa"/>
              <w:end w:w="90" w:type="dxa"/>
            </w:tcMar>
            <w:shd w:fill="000000"/>
          </w:tcPr>
          <w:p>
            <w:pPr>
              <w:spacing w:after="0"/>
            </w:pPr>
            <w:r/>
            <w:r>
              <w:rPr>
                <w:rFonts w:ascii="Times New Roman" w:hAnsi="Times New Roman"/>
                <w:b/>
                <w:color w:val="FFFFFF"/>
                <w:sz w:val="16"/>
              </w:rPr>
              <w:t>Design principle</w:t>
            </w:r>
          </w:p>
        </w:tc>
        <w:tc>
          <w:tcPr>
            <w:tcW w:type="dxa" w:w="4939"/>
            <w:vAlign w:val="center"/>
            <w:tcMar>
              <w:top w:w="70" w:type="dxa"/>
              <w:start w:w="90" w:type="dxa"/>
              <w:bottom w:w="70" w:type="dxa"/>
              <w:end w:w="90" w:type="dxa"/>
            </w:tcMar>
            <w:shd w:fill="000000"/>
          </w:tcPr>
          <w:p>
            <w:pPr>
              <w:spacing w:after="0"/>
            </w:pPr>
            <w:r/>
            <w:r>
              <w:rPr>
                <w:rFonts w:ascii="Times New Roman" w:hAnsi="Times New Roman"/>
                <w:b/>
                <w:color w:val="FFFFFF"/>
                <w:sz w:val="16"/>
              </w:rPr>
              <w:t>Implemented application of the principle</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Role relevance</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After authentication, navigation exposes the client, provider, coordinator, or authorized staff workflow appropriate to the active role.</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Progressive disclosure</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Event planning, service listing, payment, and package configuration use steps or focused screens rather than one unbounded form.</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Input prevention</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Pickers, switches, modals, date/time controls, category options, numeric keyboards, limits, and disabled actions reduce invalid submission.</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Immediate feedback</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Helper text, loading states, conflict screens, unavailability reasons, price breakdowns, confirmations, and toast/error messages explain the result of an action.</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Financial clarity</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Service subtotal, 5% platform fee, client total, 40% initial payment, 30% provider allocation, held amount, balance and payout status are labeled separately.</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Responsive presentation</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The shared React Native codebase adapts to handheld and web surfaces, with compact cards and scrollable forms.</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Historical clarity</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Booking, payment, option, and provider snapshots display the values accepted at transaction time rather than silently adopting current listing values.</w:t>
            </w:r>
          </w:p>
        </w:tc>
      </w:tr>
    </w:tbl>
    <w:p/>
    <w:p>
      <w:pPr>
        <w:pStyle w:val="Heading2"/>
      </w:pPr>
      <w:r>
        <w:t>3.9.1 Input Screens Layout</w:t>
      </w:r>
    </w:p>
    <w:p>
      <w:pPr>
        <w:spacing w:after="60"/>
        <w:jc w:val="center"/>
      </w:pPr>
      <w:r>
        <w:drawing>
          <wp:inline xmlns:a="http://schemas.openxmlformats.org/drawingml/2006/main" xmlns:pic="http://schemas.openxmlformats.org/drawingml/2006/picture">
            <wp:extent cx="6172200" cy="3550024"/>
            <wp:docPr id="12" name="Picture 12"/>
            <wp:cNvGraphicFramePr>
              <a:graphicFrameLocks noChangeAspect="1"/>
            </wp:cNvGraphicFramePr>
            <a:graphic>
              <a:graphicData uri="http://schemas.openxmlformats.org/drawingml/2006/picture">
                <pic:pic>
                  <pic:nvPicPr>
                    <pic:cNvPr id="0" name="ui_wireframe.png"/>
                    <pic:cNvPicPr/>
                  </pic:nvPicPr>
                  <pic:blipFill>
                    <a:blip r:embed="rId22"/>
                    <a:stretch>
                      <a:fillRect/>
                    </a:stretch>
                  </pic:blipFill>
                  <pic:spPr>
                    <a:xfrm>
                      <a:off x="0" y="0"/>
                      <a:ext cx="6172200" cy="3550024"/>
                    </a:xfrm>
                    <a:prstGeom prst="rect"/>
                  </pic:spPr>
                </pic:pic>
              </a:graphicData>
            </a:graphic>
          </wp:inline>
        </w:drawing>
      </w:r>
    </w:p>
    <w:p>
      <w:pPr>
        <w:keepNext/>
        <w:jc w:val="center"/>
      </w:pPr>
      <w:r>
        <w:rPr>
          <w:b/>
          <w:color w:val="000000"/>
          <w:sz w:val="18"/>
        </w:rPr>
        <w:t>Figure 3.9.1-1. Representative layout pattern derived from implemented input screens.</w:t>
      </w:r>
    </w:p>
    <w:p>
      <w:r>
        <w:t>The wireframes summarize the actual input hierarchy rather than replacing the detailed application screens. Each form starts with a descriptive header, groups related inputs, presents validation close to the field, shows a calculated summary when money or schedule is affected, and ends with one clear primary action.</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5"/>
              </w:rPr>
              <w:t>Input screen</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5"/>
              </w:rPr>
              <w:t>Principal implemented fields/controls</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5"/>
              </w:rPr>
              <w:t>Validation and usability behavior</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Client registration/login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Full name, email, phone, password/confirmation; email/password login; recovery code/new password</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Email/password checks, secure entry toggles, verification and recovery states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Provider registration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Business/contact names, category/service interests, email, phone, password</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Role-specific approval state and field-level validation</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Event creation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Event name/type, date, time, expected guests, venue status/location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Step presentation, date/time validation, guest-dependent downstream pricing</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Budget allocation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Total budget and amounts for venue, catering, coordinator, photo/video, attire, host, sound/lights, floral</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Running allocated/remaining total; selected-service category values become locked to the calculated amount</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Coordinator choice/details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Browse/skip, coordinator profile, fee, packages; package-specific catering and venue options/hours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Availability and event-type checks; conflict confirmation before replacement</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Service details/selection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Provider package, catering menu, venue option, venue booking hours, instructions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Central quote RPC validates capacity, guest range, hours, operating window, availability, one-per-category, and budget</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Provider service listing</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Category, service name/description/images, price/packages, category-specific details, availability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Multi-selection modals reduce tag clutter; pending-review workflow preserves staff moderation</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Provider booking response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Event facts, service/request details, accept or decline, optional response note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Only the owning provider may respond; eligible held allocation moves atomically on acceptance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Coordinator profile/package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Coordination fee, description, specializations, accepting status; package name/type/description/services/status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References only active real services; duplicate/unavailable package content is rejected or deactivated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Payment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Initial or full option and payment summary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Separate service subtotal, platform fee, client total, provider allocation, held/unallocated value and receipt reference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Reviews and feedback</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Rating, optional comment, service/event/coordinator feedback</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Comment analysis is optional/asynchronous; rating persists independently</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Support and account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Ticket subject/description/reply/context; profile/contact; password; payout account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Length limits, scoped related records, sensitive-number masking, current/new password checks</w:t>
            </w:r>
          </w:p>
        </w:tc>
      </w:tr>
    </w:tbl>
    <w:p/>
    <w:tbl>
      <w:tblPr>
        <w:tblStyle w:val="TableGrid"/>
        <w:tblW w:type="auto" w:w="0"/>
        <w:jc w:val="center"/>
        <w:tblLook w:firstColumn="1" w:firstRow="1" w:lastColumn="0" w:lastRow="0" w:noHBand="0" w:noVBand="1" w:val="04A0"/>
      </w:tblPr>
      <w:tblGrid>
        <w:gridCol w:w="9878"/>
      </w:tblGrid>
      <w:tr>
        <w:tc>
          <w:tcPr>
            <w:tcW w:type="dxa" w:w="9878"/>
            <w:shd w:fill="FFFFFF"/>
            <w:tcMar>
              <w:top w:w="120" w:type="dxa"/>
              <w:start w:w="150" w:type="dxa"/>
              <w:bottom w:w="120" w:type="dxa"/>
              <w:end w:w="150" w:type="dxa"/>
            </w:tcMar>
          </w:tcPr>
          <w:p>
            <w:pPr>
              <w:spacing w:after="60"/>
            </w:pPr>
            <w:r>
              <w:rPr>
                <w:b/>
                <w:color w:val="000000"/>
              </w:rPr>
              <w:t>Detailed-screen appendix guidance</w:t>
            </w:r>
            <w:r>
              <w:br/>
              <w:t>For the final bound manuscript, place exported screenshots of the running application after Appendix F using the same screen order shown above. Screenshots should use non-sensitive demonstration data. This DOCX includes the implemented field inventory and layout diagram without fabricating runtime screenshots.</w:t>
            </w:r>
          </w:p>
        </w:tc>
      </w:tr>
    </w:tbl>
    <w:p/>
    <w:p>
      <w:r>
        <w:br w:type="page"/>
      </w:r>
    </w:p>
    <w:p>
      <w:pPr>
        <w:pStyle w:val="Heading1"/>
      </w:pPr>
      <w:r>
        <w:t>3.10 System Testing and Evaluation</w:t>
      </w:r>
    </w:p>
    <w:p>
      <w:r>
        <w:t>Testing and evaluation are reported in two layers. First, repository evidence verifies implemented rules, types, migrations, and the reproducible NLP evaluation. Second, standardized instruments are supplied for respondent acceptance, deployed-web Lighthouse measurement, and ISO/IEC 25010 quality assessment. No score is inserted without an actual run or completed response set.</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Evaluation layer</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Current evidence</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Required final evidence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Application correctness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TypeScript compiler/lint scripts; database constraints/triggers/RPCs; explicit UI error states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Executed regression cases in the final configured Supabase environment and recorded pass/fail evidence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NLP pipeline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Generated manifests, leakage checks, tests, LDA/FAISS artifacts and held-out evaluation report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Full held-out and production-representative MULTIVENT comment validation</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UAT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Instrument and task scenarios included below</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Signed/completed respondent forms and summarized results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Web performance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Expo web build path and responsive implementation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Lighthouse runs against a deployed production build under documented conditions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System quality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Evidence mapping and ISO/IEC 25010 instrument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Qualified evaluator/user responses and computed characteristic means</w:t>
            </w:r>
          </w:p>
        </w:tc>
      </w:tr>
    </w:tbl>
    <w:p/>
    <w:p>
      <w:pPr>
        <w:pStyle w:val="Heading2"/>
      </w:pPr>
      <w:r>
        <w:t>3.10.1 User Acceptance Evaluation</w:t>
      </w:r>
    </w:p>
    <w:p>
      <w:r>
        <w:t>User Acceptance Testing (UAT) should use role-based task completion followed by a five-point questionnaire. Suggested participants are actual or representative clients, service providers, event coordinators, and authorized staff. Each participant should test only the workflows relevant to the assigned role.</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Role</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Acceptance tasks</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6"/>
              </w:rPr>
              <w:t>Observable success criterion</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Client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Register/sign in; create event; allocate budget; optionally choose coordinator; select catering/venue options; review quote; record payment; inspect booking; submit review</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Task completes with the correct event, one active service per category, matching option/hours snapshot, total and status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Provider</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Create/edit a listing; set availability; inspect request; accept/decline; view credited/held amounts; submit payout request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Only owned records change; acceptance credits only the eligible share; rejection does not credit provider</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Coordinator</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Configure profile/fee; create package; answer assignment; inspect accepted event/tasks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Package references valid provider services; assignment remains explicit; fee and status match the client record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Authorized staff</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Review listing/account; use permission-based operations; handle support/finance item; inspect audit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6"/>
              </w:rPr>
              <w:t>Allowed task succeeds and disallowed task remains unavailable/denied; audit avoids sensitive free text</w:t>
            </w:r>
          </w:p>
        </w:tc>
      </w:tr>
    </w:tbl>
    <w:p/>
    <w:p>
      <w:r>
        <w:t>Response scale: 5 – Strongly Agree, 4 – Agree, 3 – Neutral, 2 – Disagree, 1 – Strongly Disagree.</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648"/>
            <w:vAlign w:val="center"/>
            <w:tcMar>
              <w:top w:w="70" w:type="dxa"/>
              <w:start w:w="90" w:type="dxa"/>
              <w:bottom w:w="70" w:type="dxa"/>
              <w:end w:w="90" w:type="dxa"/>
            </w:tcMar>
            <w:shd w:fill="000000"/>
          </w:tcPr>
          <w:p>
            <w:pPr>
              <w:spacing w:after="0"/>
            </w:pPr>
            <w:r/>
            <w:r>
              <w:rPr>
                <w:rFonts w:ascii="Times New Roman" w:hAnsi="Times New Roman"/>
                <w:b/>
                <w:color w:val="FFFFFF"/>
                <w:sz w:val="15"/>
              </w:rPr>
              <w:t>No.</w:t>
            </w:r>
          </w:p>
        </w:tc>
        <w:tc>
          <w:tcPr>
            <w:tcW w:type="dxa" w:w="7848"/>
            <w:vAlign w:val="center"/>
            <w:tcMar>
              <w:top w:w="70" w:type="dxa"/>
              <w:start w:w="90" w:type="dxa"/>
              <w:bottom w:w="70" w:type="dxa"/>
              <w:end w:w="90" w:type="dxa"/>
            </w:tcMar>
            <w:shd w:fill="000000"/>
          </w:tcPr>
          <w:p>
            <w:pPr>
              <w:spacing w:after="0"/>
            </w:pPr>
            <w:r/>
            <w:r>
              <w:rPr>
                <w:rFonts w:ascii="Times New Roman" w:hAnsi="Times New Roman"/>
                <w:b/>
                <w:color w:val="FFFFFF"/>
                <w:sz w:val="15"/>
              </w:rPr>
              <w:t>UAT statement</w:t>
            </w:r>
          </w:p>
        </w:tc>
        <w:tc>
          <w:tcPr>
            <w:tcW w:type="dxa" w:w="1800"/>
            <w:vAlign w:val="center"/>
            <w:tcMar>
              <w:top w:w="70" w:type="dxa"/>
              <w:start w:w="90" w:type="dxa"/>
              <w:bottom w:w="70" w:type="dxa"/>
              <w:end w:w="90" w:type="dxa"/>
            </w:tcMar>
            <w:shd w:fill="000000"/>
          </w:tcPr>
          <w:p>
            <w:pPr>
              <w:spacing w:after="0"/>
            </w:pPr>
            <w:r/>
            <w:r>
              <w:rPr>
                <w:rFonts w:ascii="Times New Roman" w:hAnsi="Times New Roman"/>
                <w:b/>
                <w:color w:val="FFFFFF"/>
                <w:sz w:val="15"/>
              </w:rPr>
              <w:t>Quality focus</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1</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I could complete my assigned role’s main task without assistance.</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Effectiveness</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2</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The labels, instructions, and navigation made the next action clear.</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Learnability</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3</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Required fields and validation messages helped me correct invalid input.</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Error prevention</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4</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Event, service, provider/coordinator, date, time, guest, and option details were accurate.</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Functional correctness</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5</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The displayed service subtotal, platform fee, payment requirement, held amount, and balance were understandable.</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Financial clarity</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6</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Catering price changed correctly according to the chosen menu and guest count.</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Domain correctness</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7</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Venue price and schedule reflected the chosen venue option and booking hours.</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Domain correctness</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8</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The system prevented or clearly explained schedule, capacity, budget, availability, and category conflicts.</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Safety / feedback</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9</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Booking and assignment states clearly showed who still needed to respond.</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Workflow visibility</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10</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Notifications/messages gave enough information without exposing unrelated records.</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Communication / privacy</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11</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The interface remained readable and usable on the device or browser I tested.</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Accessibility / responsiveness</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12</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I trust that my role can access only the functions and records it should use.</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Perceived security</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13</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The system responded within an acceptable time for the tested tasks.</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Performance perception</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14</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Errors or unavailable states explained what I could do next.</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Recoverability</w:t>
            </w:r>
          </w:p>
        </w:tc>
      </w:tr>
      <w:tr>
        <w:trPr>
          <w:cantSplit/>
        </w:trPr>
        <w:tc>
          <w:tcPr>
            <w:tcW w:type="dxa" w:w="648"/>
            <w:vAlign w:val="center"/>
            <w:tcMar>
              <w:top w:w="70" w:type="dxa"/>
              <w:start w:w="90" w:type="dxa"/>
              <w:bottom w:w="70" w:type="dxa"/>
              <w:end w:w="90" w:type="dxa"/>
            </w:tcMar>
            <w:shd w:fill="FFFFFF"/>
          </w:tcPr>
          <w:p>
            <w:pPr>
              <w:spacing w:after="0"/>
            </w:pPr>
            <w:r/>
            <w:r>
              <w:rPr>
                <w:rFonts w:ascii="Times New Roman" w:hAnsi="Times New Roman"/>
                <w:b w:val="0"/>
                <w:sz w:val="15"/>
              </w:rPr>
              <w:t>15</w:t>
            </w:r>
          </w:p>
        </w:tc>
        <w:tc>
          <w:tcPr>
            <w:tcW w:type="dxa" w:w="7848"/>
            <w:vAlign w:val="center"/>
            <w:tcMar>
              <w:top w:w="70" w:type="dxa"/>
              <w:start w:w="90" w:type="dxa"/>
              <w:bottom w:w="70" w:type="dxa"/>
              <w:end w:w="90" w:type="dxa"/>
            </w:tcMar>
            <w:shd w:fill="FFFFFF"/>
          </w:tcPr>
          <w:p>
            <w:pPr>
              <w:spacing w:after="0"/>
            </w:pPr>
            <w:r/>
            <w:r>
              <w:rPr>
                <w:rFonts w:ascii="Times New Roman" w:hAnsi="Times New Roman"/>
                <w:b w:val="0"/>
                <w:sz w:val="15"/>
              </w:rPr>
              <w:t>Overall, MULTIVENT is acceptable for managing the tested event-service workflow.</w:t>
            </w:r>
          </w:p>
        </w:tc>
        <w:tc>
          <w:tcPr>
            <w:tcW w:type="dxa" w:w="1800"/>
            <w:vAlign w:val="center"/>
            <w:tcMar>
              <w:top w:w="70" w:type="dxa"/>
              <w:start w:w="90" w:type="dxa"/>
              <w:bottom w:w="70" w:type="dxa"/>
              <w:end w:w="90" w:type="dxa"/>
            </w:tcMar>
            <w:shd w:fill="FFFFFF"/>
          </w:tcPr>
          <w:p>
            <w:pPr>
              <w:spacing w:after="0"/>
            </w:pPr>
            <w:r/>
            <w:r>
              <w:rPr>
                <w:rFonts w:ascii="Times New Roman" w:hAnsi="Times New Roman"/>
                <w:b w:val="0"/>
                <w:sz w:val="15"/>
              </w:rPr>
              <w:t>Overall acceptance</w:t>
            </w:r>
          </w:p>
        </w:tc>
      </w:tr>
    </w:tbl>
    <w:p/>
    <w:p>
      <w:r>
        <w:t>For analysis, compute each item’s frequency and weighted mean, then group means by role and quality focus. Report the sample size, role distribution, device/browser, test date, and any task failures. The researchers must define and obtain adviser approval for the final verbal interpretation and acceptance threshold before collecting responses. Open comments should be coded separately and must not be converted into invented scores.</w:t>
      </w:r>
    </w:p>
    <w:p>
      <w:pPr>
        <w:pStyle w:val="Heading2"/>
      </w:pPr>
      <w:r>
        <w:t>3.10.2 Performance Evaluation</w:t>
      </w:r>
    </w:p>
    <w:p>
      <w:r>
        <w:t>Google Lighthouse should be executed against the deployed production web build, not the Metro development server. Record at least three runs under the same desktop and mobile profiles, clear the cache or use an incognito profile as required by the protocol, and report the median. Because no reproducible Lighthouse report was present in the reviewed repository, the matrix below is intentionally unscored.</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trPr>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5"/>
              </w:rPr>
              <w:t>Lighthouse area / metric</w:t>
            </w:r>
          </w:p>
        </w:tc>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5"/>
              </w:rPr>
              <w:t>Target or interpretation</w:t>
            </w:r>
          </w:p>
        </w:tc>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5"/>
              </w:rPr>
              <w:t>Desktop median</w:t>
            </w:r>
          </w:p>
        </w:tc>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5"/>
              </w:rPr>
              <w:t>Mobile median</w:t>
            </w:r>
          </w:p>
        </w:tc>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5"/>
              </w:rPr>
              <w:t>Evidence/status</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Performance score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Report 0–100; project target to be adviser-approved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Attach HTML/JSON report</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Accessibility score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Report 0–100 and failed audits</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Attach report and remediation notes</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Best Practices score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Report 0–100 and failed audits</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Attach report</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SEO score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Report 0–100 for public/deployed web surface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Attach report</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First Contentful Paint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Lower is better; compare with Lighthouse classification</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Milliseconds/seconds</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Largest Contentful Paint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Lower is better; identify the dominant element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Milliseconds/seconds</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Total Blocking Time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Lower is better; investigate long JavaScript tasks</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Milliseconds</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Cumulative Layout Shift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Lower is better; identify unstable elements</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Unitless</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Speed Index</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Lower is better; compare same deployment/network profile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To be measured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5"/>
              </w:rPr>
              <w:t>Milliseconds/seconds</w:t>
            </w:r>
          </w:p>
        </w:tc>
      </w:tr>
    </w:tbl>
    <w:p/>
    <w:p>
      <w:pPr>
        <w:pStyle w:val="ListNumber"/>
        <w:spacing w:after="60"/>
      </w:pPr>
      <w:r>
        <w:t>Export the Expo production web bundle and deploy it to the intended HTTPS host.</w:t>
      </w:r>
    </w:p>
    <w:p>
      <w:pPr>
        <w:pStyle w:val="ListNumber"/>
        <w:spacing w:after="60"/>
      </w:pPr>
      <w:r>
        <w:t>Document URL, commit/release, browser/Lighthouse version, device profile, network/CPU throttling, and run time.</w:t>
      </w:r>
    </w:p>
    <w:p>
      <w:pPr>
        <w:pStyle w:val="ListNumber"/>
        <w:spacing w:after="60"/>
      </w:pPr>
      <w:r>
        <w:t>Run Lighthouse three times for the login/onboarding surface and representative authenticated routes that the test setup can access.</w:t>
      </w:r>
    </w:p>
    <w:p>
      <w:pPr>
        <w:pStyle w:val="ListNumber"/>
        <w:spacing w:after="60"/>
      </w:pPr>
      <w:r>
        <w:t>Store the HTML or JSON reports, compute the median, list failed audits, and connect remediation work to a tracked issue.</w:t>
      </w:r>
    </w:p>
    <w:p>
      <w:pPr>
        <w:pStyle w:val="ListNumber"/>
        <w:spacing w:after="60"/>
      </w:pPr>
      <w:r>
        <w:t>Repeat after material performance changes; do not combine results from different builds or profiles as one sample.</w:t>
      </w:r>
    </w:p>
    <w:p>
      <w:pPr>
        <w:pStyle w:val="Heading2"/>
      </w:pPr>
      <w:r>
        <w:t>3.10.3 System Quality</w:t>
      </w:r>
    </w:p>
    <w:p>
      <w:r>
        <w:t>The recommended evaluation model is ISO/IEC 25010 because its product-quality characteristics align with the implemented application and the adviser’s requirement for a recognized quality standard. Respondents should use the same five-point scale, while technical evaluators should attach evidence for claims that end users cannot directly observe.</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5"/>
              </w:rPr>
              <w:t>ISO/IEC 25010 characteristic</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5"/>
              </w:rPr>
              <w:t>Implemented evidence to inspect</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5"/>
              </w:rPr>
              <w:t>Evaluation statement</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Functional suitability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Role workflows, central quote/payment RPCs, constraints, snapshots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The system provides the functions needed for the assigned event-service task and produces correct results.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Performance efficiency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Indexed queries, targeted RPCs, summary cache, measured Lighthouse/API behavior</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The system uses time and resources acceptably for the tested workload.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Compatibility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Expo Android/iOS/web targets; JSON/HTTPS and SQL interfaces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The system operates and exchanges data correctly in the tested device/browser and service environment.</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Usability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Progressive forms, helper text, conflict explanations, responsive cards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The interface is understandable, learnable, operable, and prevents common errors.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Reliability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Transactions, row locks, retries/failure states, retained history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The system maintains correct state and recovers or explains failure during tested operations.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Security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Auth, RBAC, RLS, grants/revokes, secret isolation, redacted audit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The system protects records and actions according to identity and role.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Maintainability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TypeScript modules, ordered migrations, centralized calculations, versioned artifacts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The implementation is modular, analyzable, and can be changed without duplicating critical rules.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Portability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Expo targets, environment configuration, Dockerized sentiment API</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The system can be built or deployed to the documented supported environments with configuration changes.</w:t>
            </w:r>
          </w:p>
        </w:tc>
      </w:tr>
    </w:tbl>
    <w:p/>
    <w:p>
      <w:r>
        <w:t>Compute a mean per characteristic and an overall descriptive mean only after completed forms are collected. Keep user-perception responses separate from objective test evidence such as Lighthouse output, database authorization tests, and ML metrics. Include evaluator role, environment, sample size, and limitations in the final chapter.</w:t>
      </w:r>
    </w:p>
    <w:p>
      <w:r>
        <w:br w:type="page"/>
      </w:r>
    </w:p>
    <w:p>
      <w:pPr>
        <w:pStyle w:val="Heading1"/>
      </w:pPr>
      <w:r>
        <w:t>Appendix A. Implementation Traceability Matrix</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5"/>
              </w:rPr>
              <w:t>Manuscript claim</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5"/>
              </w:rPr>
              <w:t>Implementation evidence</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5"/>
              </w:rPr>
              <w:t>Status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Cross-platform role-aware application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package.json; app.json; src/App.tsx; src/screens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Implemented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Supabase relational backend and RLS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database/initial_supabase_schema.sql; security and role migrations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Implemented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Optional paid coordinator with explicit response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database/53_coordinator_marketplace.sql; coordinator screens/libraries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Implemented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Coordinator-curated packages reference real services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database/54_coordinator_packages.sql; 23.3-CoordinatorPackages.tsx</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Implemented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Guest-aware catering options and snapshots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database/55_catering_pricing_revision.sql; service details/listing screens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Implemented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5% fee, 40% initial requirement, 30% provider allocation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database/56_payment_revenue_revision.sql; 12-Payment.tsx</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Implemented in internal accounting workflow</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Funds held until individual provider/coordinator acceptance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database/57_payment_hold_provider_acceptance.sql; booking request and earnings screens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Implemented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Category budget allocations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database/58_budget_allocation_revision.sql; 05-BudgetAllocation.tsx</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Implemented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Budget/guest/availability-aware recommendations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database/59_budget_aware_recommendations.sql; browse flow</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Implemented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One service per category; venue option/hours; locked category amount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database/60_service_selection_revision.sql; 08-ServiceDetails.tsx</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Implemented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Messaging, notifications, instructions and support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conversation/message/notification/support schema; screens 03, 10, 22.5, 25</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Implemented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Sentiment/topic/RAG integration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Supabase analyze/summarize functions; sentiment API workspace and artifacts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Implemented; optional comment analysis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Live external payment gateway</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src/lib/planning.ts uses generated demo reference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Not confirmed / must not be claimed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Production Azure sentiment deployment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deployment/sentiment/Dockerfile.azure and deployment documentation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Configured target; live deployment not proven by repository</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Completed UAT/Lighthouse/ISO results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No completed response set or Lighthouse report found</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Instrument supplied; results pending actual evaluation</w:t>
            </w:r>
          </w:p>
        </w:tc>
      </w:tr>
    </w:tbl>
    <w:p/>
    <w:p>
      <w:pPr>
        <w:pStyle w:val="Heading1"/>
      </w:pPr>
      <w:r>
        <w:t>Appendix B. Programmer Responsibility and Deliverables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70" w:type="dxa"/>
              <w:start w:w="90" w:type="dxa"/>
              <w:bottom w:w="70" w:type="dxa"/>
              <w:end w:w="90" w:type="dxa"/>
            </w:tcMar>
            <w:shd w:fill="000000"/>
          </w:tcPr>
          <w:p>
            <w:pPr>
              <w:spacing w:after="0"/>
            </w:pPr>
            <w:r/>
            <w:r>
              <w:rPr>
                <w:rFonts w:ascii="Times New Roman" w:hAnsi="Times New Roman"/>
                <w:b/>
                <w:color w:val="FFFFFF"/>
                <w:sz w:val="16"/>
              </w:rPr>
              <w:t>Responsibility</w:t>
            </w:r>
          </w:p>
        </w:tc>
        <w:tc>
          <w:tcPr>
            <w:tcW w:type="dxa" w:w="4939"/>
            <w:vAlign w:val="center"/>
            <w:tcMar>
              <w:top w:w="70" w:type="dxa"/>
              <w:start w:w="90" w:type="dxa"/>
              <w:bottom w:w="70" w:type="dxa"/>
              <w:end w:w="90" w:type="dxa"/>
            </w:tcMar>
            <w:shd w:fill="000000"/>
          </w:tcPr>
          <w:p>
            <w:pPr>
              <w:spacing w:after="0"/>
            </w:pPr>
            <w:r/>
            <w:r>
              <w:rPr>
                <w:rFonts w:ascii="Times New Roman" w:hAnsi="Times New Roman"/>
                <w:b/>
                <w:color w:val="FFFFFF"/>
                <w:sz w:val="16"/>
              </w:rPr>
              <w:t>Concrete deliverable reflected in the manuscript</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Requirements translation</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Converted coordinator, pricing, payment, budget, recommendation, venue, security, and ML rules into application/database behavior</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Architecture</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Defined and implemented the Expo–Supabase–PostgreSQL–Edge–FastAPI component boundaries</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Database engineering</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Maintained normalized relationships, RLS, transactional RPCs, triggers, indexes, snapshots, audit and ordered migrations</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Application engineering</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Implemented role-aware screens and data libraries for clients, providers, coordinators and staff</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Financial correctness</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Centralized versioned fee/payment/allocation logic and separated held, earned, released and revenue amounts</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ML/NLP integration</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Connected reviews/feedback to protected server-side analysis and preserved provenance and failure state</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Verification</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Provided type/lint/build commands, role-based UAT cases, Lighthouse procedure and ISO quality instrument</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Documentation</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6"/>
              </w:rPr>
              <w:t>Produced architecture, ERD, use case, DFD, deployment, UI and traceability descriptions based on source evidence</w:t>
            </w:r>
          </w:p>
        </w:tc>
      </w:tr>
    </w:tbl>
    <w:p/>
    <w:p>
      <w:pPr>
        <w:pStyle w:val="Heading1"/>
      </w:pPr>
      <w:r>
        <w:t>Appendix C. Sentiment Training and Evaluation Evidence</w:t>
      </w:r>
    </w:p>
    <w:p>
      <w:r>
        <w:t>The NLP feature analyzes optional written comments. It does not train or fine-tune a supervised sentiment classifier. The local corpus fits an unsupervised LDA topic model and builds a training-only FAISS retrieval index. The active configuration records the pre-trained OpenAI model name gpt-5.6-terra, which produces the final schema-constrained positive/negative verdict using the original comment, LDA context, and retrieved labeled examples. Star ratings remain separate.</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5"/>
              </w:rPr>
              <w:t>Artifact / population</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5"/>
              </w:rPr>
              <w:t>Recorded value</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5"/>
              </w:rPr>
              <w:t>Meaning</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Original source records examined</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31,704</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Registered records across HiliSenti, MAMS, Booking Hotel Reviews and UCI restaurant subset</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Neutral records excluded</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7,154</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Excluded from the binary experiment; never relabeled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Valid deduplicated binary units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23,171</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All-binary processed corpus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Realized corpus split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18,411 train; 2,376 validation; 2,384 test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79.46% / 10.25% / 10.29%; publisher HiliSenti partitions are preserved</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Domain-filtered units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5,649</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Event/service-relevant examples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LDA fitting rows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4,462</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Training-only text; sentiment label not used to fit topics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FAISS/RAG rows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3,050</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Balanced: 1,525 positive and 1,525 negative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Encoder</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paraphrase-multilingual-MiniLM-L12-v2</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Frozen pretrained multilingual, 384-dimensional embeddings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LDA</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10 topics; max 10,000 features; min_df 2; max_df 0.95; 20 iterations; seed 42</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5"/>
              </w:rPr>
              <w:t>Current saved topic configuration; labels remain Topic 0–9 pending human naming</w:t>
            </w:r>
          </w:p>
        </w:tc>
      </w:tr>
    </w:tbl>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trPr>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6"/>
              </w:rPr>
              <w:t>Held-out sample</w:t>
            </w:r>
          </w:p>
        </w:tc>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6"/>
              </w:rPr>
              <w:t>N</w:t>
            </w:r>
          </w:p>
        </w:tc>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6"/>
              </w:rPr>
              <w:t>Accuracy</w:t>
            </w:r>
          </w:p>
        </w:tc>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6"/>
              </w:rPr>
              <w:t>Macro F1</w:t>
            </w:r>
          </w:p>
        </w:tc>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6"/>
              </w:rPr>
              <w:t>Confusion matrix [negative, positive]</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6"/>
              </w:rPr>
              <w:t>HiliSenti</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6"/>
              </w:rPr>
              <w:t>100</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6"/>
              </w:rPr>
              <w:t>0.9500</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6"/>
              </w:rPr>
              <w:t>0.9494</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6"/>
              </w:rPr>
              <w:t>[[53, 4], [1, 42]]</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6"/>
              </w:rPr>
              <w:t>Hospitality/restaurant domain proxy</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6"/>
              </w:rPr>
              <w:t>100</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6"/>
              </w:rPr>
              <w:t>0.9400</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6"/>
              </w:rPr>
              <w:t>0.9400</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6"/>
              </w:rPr>
              <w:t>[[48, 2], [4, 46]]</w:t>
            </w:r>
          </w:p>
        </w:tc>
      </w:tr>
    </w:tbl>
    <w:p/>
    <w:p>
      <w:r>
        <w:t>The recorded report states that leakage checks passed. These results are promising but preliminary: each set contains only 100 evaluated records, the domain set is a proxy rather than native MULTIVENT feedback, and some hotel labels are weakly supervised. The feature must not control ranking, penalties, or other high-impact decisions until a manually labeled production-representative MULTIVENT set is evaluated.</w:t>
      </w:r>
    </w:p>
    <w:p>
      <w:pPr>
        <w:pStyle w:val="Heading1"/>
      </w:pPr>
      <w:r>
        <w:t>Appendix D. Core Database Entity Data Dictionary</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4"/>
              </w:rPr>
              <w:t>Entity</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4"/>
              </w:rPr>
              <w:t>Selected key attributes</w:t>
            </w:r>
          </w:p>
        </w:tc>
        <w:tc>
          <w:tcPr>
            <w:tcW w:type="dxa" w:w="3293"/>
            <w:vAlign w:val="center"/>
            <w:tcMar>
              <w:top w:w="70" w:type="dxa"/>
              <w:start w:w="90" w:type="dxa"/>
              <w:bottom w:w="70" w:type="dxa"/>
              <w:end w:w="90" w:type="dxa"/>
            </w:tcMar>
            <w:shd w:fill="000000"/>
          </w:tcPr>
          <w:p>
            <w:pPr>
              <w:spacing w:after="0"/>
            </w:pPr>
            <w:r/>
            <w:r>
              <w:rPr>
                <w:rFonts w:ascii="Times New Roman" w:hAnsi="Times New Roman"/>
                <w:b/>
                <w:color w:val="FFFFFF"/>
                <w:sz w:val="14"/>
              </w:rPr>
              <w:t>Data retained for correctness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profiles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id, full_name, email, phone, default_role, account_status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Application identity linked to auth.users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provider_profiles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id, user_id, business_name, contact/location, verification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Provider business identity and moderation state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services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id, provider_id, category_id, name, base_price, pricing model/unit, category_details, status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Provider-controlled listing and configurable options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events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id, client_id, coordinator IDs/status, name/type/date/time, guest_count, total_budget</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Client plan and coordinator pricing snapshot</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event_budget_items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event_id, category_key, allocated_amount, lock/selection ID, version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Category ceiling and committed selected cost</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event_service_selections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event/service/package/provider/category, amount, catering/venue IDs and snapshots, status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Event-specific option and calculated-price commitment</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bookings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event/client/provider/service, date/time, amount/provider/platform snapshots, status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Provider request and immutable transaction terms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payments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booking/event/coordinator, scope, subtotal/fee/initial/held allocations, status/reference</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Payment attempt and versioned financial breakdown</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financial_transactions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booking/payment/event/provider/coordinator, platform revenue, provider net/held/released, status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Internal ledger that separates custody, earnings and payout</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coordinator_packages/items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coordinator, name/type/status; package/service/position</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Curated references to real services</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reviews/event_feedback</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booking/event/service/coordinator, rating/comment, sentiment/topic/metadata</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User feedback and optional analysis provenance</w:t>
            </w:r>
          </w:p>
        </w:tc>
      </w:tr>
      <w:tr>
        <w:trPr>
          <w:cantSplit/>
        </w:trPr>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audit_logs</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actor, action, resource, redacted before/after, timestamp</w:t>
            </w:r>
          </w:p>
        </w:tc>
        <w:tc>
          <w:tcPr>
            <w:tcW w:type="dxa" w:w="3293"/>
            <w:vAlign w:val="center"/>
            <w:tcMar>
              <w:top w:w="70" w:type="dxa"/>
              <w:start w:w="90" w:type="dxa"/>
              <w:bottom w:w="70" w:type="dxa"/>
              <w:end w:w="90" w:type="dxa"/>
            </w:tcMar>
            <w:shd w:fill="FFFFFF"/>
          </w:tcPr>
          <w:p>
            <w:pPr>
              <w:spacing w:after="0"/>
            </w:pPr>
            <w:r/>
            <w:r>
              <w:rPr>
                <w:rFonts w:ascii="Times New Roman" w:hAnsi="Times New Roman"/>
                <w:b w:val="0"/>
                <w:sz w:val="14"/>
              </w:rPr>
              <w:t>Accountability without copying designated sensitive content</w:t>
            </w:r>
          </w:p>
        </w:tc>
      </w:tr>
    </w:tbl>
    <w:p/>
    <w:p>
      <w:pPr>
        <w:pStyle w:val="Heading1"/>
      </w:pPr>
      <w:r>
        <w:t>Appendix E. Verification Checklist for Final Submission</w:t>
      </w:r>
    </w:p>
    <w:p>
      <w:pPr>
        <w:pStyle w:val="ListNumber"/>
        <w:spacing w:after="60"/>
      </w:pPr>
      <w:r>
        <w:t>Apply database migrations in documented order through 60_service_selection_revision.sql to a clean staging project and retain the execution log.</w:t>
      </w:r>
    </w:p>
    <w:p>
      <w:pPr>
        <w:pStyle w:val="ListNumber"/>
        <w:spacing w:after="60"/>
      </w:pPr>
      <w:r>
        <w:t>Run npm run typecheck, npm run lint, and npm run build:web; record command, date, environment and result.</w:t>
      </w:r>
    </w:p>
    <w:p>
      <w:pPr>
        <w:pStyle w:val="ListNumber"/>
        <w:spacing w:after="60"/>
      </w:pPr>
      <w:r>
        <w:t>Run the sentiment service test suite and compare artifact hashes/evaluation report with the deployed container image.</w:t>
      </w:r>
    </w:p>
    <w:p>
      <w:pPr>
        <w:pStyle w:val="ListNumber"/>
        <w:spacing w:after="60"/>
      </w:pPr>
      <w:r>
        <w:t>Execute role-isolation tests for client, provider, coordinator and each staff permission set; attempt both allowed and denied operations.</w:t>
      </w:r>
    </w:p>
    <w:p>
      <w:pPr>
        <w:pStyle w:val="ListNumber"/>
        <w:spacing w:after="60"/>
      </w:pPr>
      <w:r>
        <w:t>Complete the UAT scenarios and questionnaire with representative respondents; compute descriptive results without fabricating missing answers.</w:t>
      </w:r>
    </w:p>
    <w:p>
      <w:pPr>
        <w:pStyle w:val="ListNumber"/>
        <w:spacing w:after="60"/>
      </w:pPr>
      <w:r>
        <w:t>Deploy the production web build and capture three Lighthouse runs per documented profile; attach HTML/JSON reports.</w:t>
      </w:r>
    </w:p>
    <w:p>
      <w:pPr>
        <w:pStyle w:val="ListNumber"/>
        <w:spacing w:after="60"/>
      </w:pPr>
      <w:r>
        <w:t>Complete the ISO/IEC 25010 evaluation, keeping user perception, technical tests and NLP metrics as separate evidence sources.</w:t>
      </w:r>
    </w:p>
    <w:p>
      <w:pPr>
        <w:pStyle w:val="ListNumber"/>
        <w:spacing w:after="60"/>
      </w:pPr>
      <w:r>
        <w:t>Replace demonstration names/contact/payment references in screenshots and reports with non-sensitive test data.</w:t>
      </w:r>
    </w:p>
    <w:p>
      <w:pPr>
        <w:pStyle w:val="ListNumber"/>
        <w:spacing w:after="60"/>
      </w:pPr>
      <w:r>
        <w:t>Update this manuscript’s status statements if a live payment gateway or production sentiment deployment is later verified.</w:t>
      </w:r>
    </w:p>
    <w:p>
      <w:pPr>
        <w:pStyle w:val="Heading1"/>
      </w:pPr>
      <w:r>
        <w:t>Appendix F. Repository Evidence Reviewed</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70" w:type="dxa"/>
              <w:start w:w="90" w:type="dxa"/>
              <w:bottom w:w="70" w:type="dxa"/>
              <w:end w:w="90" w:type="dxa"/>
            </w:tcMar>
            <w:shd w:fill="000000"/>
          </w:tcPr>
          <w:p>
            <w:pPr>
              <w:spacing w:after="0"/>
            </w:pPr>
            <w:r/>
            <w:r>
              <w:rPr>
                <w:rFonts w:ascii="Times New Roman" w:hAnsi="Times New Roman"/>
                <w:b/>
                <w:color w:val="FFFFFF"/>
                <w:sz w:val="15"/>
              </w:rPr>
              <w:t>Evidence path</w:t>
            </w:r>
          </w:p>
        </w:tc>
        <w:tc>
          <w:tcPr>
            <w:tcW w:type="dxa" w:w="4939"/>
            <w:vAlign w:val="center"/>
            <w:tcMar>
              <w:top w:w="70" w:type="dxa"/>
              <w:start w:w="90" w:type="dxa"/>
              <w:bottom w:w="70" w:type="dxa"/>
              <w:end w:w="90" w:type="dxa"/>
            </w:tcMar>
            <w:shd w:fill="000000"/>
          </w:tcPr>
          <w:p>
            <w:pPr>
              <w:spacing w:after="0"/>
            </w:pPr>
            <w:r/>
            <w:r>
              <w:rPr>
                <w:rFonts w:ascii="Times New Roman" w:hAnsi="Times New Roman"/>
                <w:b/>
                <w:color w:val="FFFFFF"/>
                <w:sz w:val="15"/>
              </w:rPr>
              <w:t>Purpose in this manuscript</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HARVEY&amp;CAANG.pdf</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Required manuscript sections and evaluation items</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package.json, app.json, eas.json</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Application stack, targets and build profiles</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src/App.tsx; src/screens; src/lib</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Implemented role navigation, screens, inputs and application data flows</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database/initial_supabase_schema.sql</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Foundational relational entities and relationships</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database/30–60 migrations</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RBAC, support, finance, security hardening, coordinator, package, catering, payment, budget, recommendation and selection revisions</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supabase/functions/*</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Privileged account and sentiment integration boundaries</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deployment/sentiment/Dockerfile.azure</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Container software and intended Azure deployment target</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docs/ML_METHODOLOGY_IMPLEMENTATION.md</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Current, reconciled ML methodology and recorded metrics</w:t>
            </w:r>
          </w:p>
        </w:tc>
      </w:tr>
      <w:tr>
        <w:trPr>
          <w:cantSplit/>
        </w:trPr>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D:\Sentiment Training\multivent-sentiment</w:t>
            </w:r>
          </w:p>
        </w:tc>
        <w:tc>
          <w:tcPr>
            <w:tcW w:type="dxa" w:w="4939"/>
            <w:vAlign w:val="center"/>
            <w:tcMar>
              <w:top w:w="70" w:type="dxa"/>
              <w:start w:w="90" w:type="dxa"/>
              <w:bottom w:w="70" w:type="dxa"/>
              <w:end w:w="90" w:type="dxa"/>
            </w:tcMar>
            <w:shd w:fill="FFFFFF"/>
          </w:tcPr>
          <w:p>
            <w:pPr>
              <w:spacing w:after="0"/>
            </w:pPr>
            <w:r/>
            <w:r>
              <w:rPr>
                <w:rFonts w:ascii="Times New Roman" w:hAnsi="Times New Roman"/>
                <w:b w:val="0"/>
                <w:sz w:val="15"/>
              </w:rPr>
              <w:t>Source registration, processed corpus, LDA/encoder/FAISS artifacts, API code, tests, manifests and reports</w:t>
            </w:r>
          </w:p>
        </w:tc>
      </w:tr>
    </w:tbl>
    <w:p/>
    <w:p>
      <w:pPr>
        <w:pStyle w:val="Heading1"/>
      </w:pPr>
      <w:r>
        <w:t>Appendix G. Detailed Input-Screen Layout Specification</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trPr>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4"/>
              </w:rPr>
              <w:t>Screen</w:t>
            </w:r>
          </w:p>
        </w:tc>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4"/>
              </w:rPr>
              <w:t>Header/top region</w:t>
            </w:r>
          </w:p>
        </w:tc>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4"/>
              </w:rPr>
              <w:t>Body order</w:t>
            </w:r>
          </w:p>
        </w:tc>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4"/>
              </w:rPr>
              <w:t>Bottom/terminal action</w:t>
            </w:r>
          </w:p>
        </w:tc>
        <w:tc>
          <w:tcPr>
            <w:tcW w:type="dxa" w:w="1976"/>
            <w:vAlign w:val="center"/>
            <w:tcMar>
              <w:top w:w="70" w:type="dxa"/>
              <w:start w:w="90" w:type="dxa"/>
              <w:bottom w:w="70" w:type="dxa"/>
              <w:end w:w="90" w:type="dxa"/>
            </w:tcMar>
            <w:shd w:fill="000000"/>
          </w:tcPr>
          <w:p>
            <w:pPr>
              <w:spacing w:after="0"/>
            </w:pPr>
            <w:r/>
            <w:r>
              <w:rPr>
                <w:rFonts w:ascii="Times New Roman" w:hAnsi="Times New Roman"/>
                <w:b/>
                <w:color w:val="FFFFFF"/>
                <w:sz w:val="14"/>
              </w:rPr>
              <w:t>Responsive and feedback behavior</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Login / registration</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Brand/title and role context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Identity/contact fields → password fields → terms/verification context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Sign in / create account / recovery link</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Keyboard-aware scrolling, secure-entry toggle, inline helper/error text</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Create Event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Back navigation, step label, Create Event title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Name/type → date/time → guest count → venue status/location</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Continue to budget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Scrollable step form; invalid schedule/input blocks progression</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Budget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Budget step and event context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Total budget → category allocation cards → allocated/remaining summary</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Save/continue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Currency formatting, running totals, locked selected-cost explanation</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Coordinator Choice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Optional coordinator prompt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Browse coordinators/packages or explanatory skip path</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Select coordinator/package or continue without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Choice is not forced; unavailable reasons remain visible</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Category Browse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Category or replacement context and search</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Recommendation/filter controls → service cards → budget/availability indicators</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Open service details</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Loading/empty/error states; replacement context is explicit</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Service Details</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Service/provider identity and media</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Description → provider options/packages → catering/venue configuration → quote → instructions</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Select or replace service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Guest/capacity/hour/schedule/budget errors appear before commit</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Review Services</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Event and review-step context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One card per selected category → option snapshots → coordinator → totals</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Proceed to booking/payment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Selection changes return to the relevant category without losing event context</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Payment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Event summary</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Payment mode → subtotal → 5% fee → client total → held/provider allocation explanation</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Record payment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Disabled while processing; confirmation shows generated reference and status</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Provider Listing Wizard</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Step indicator and category context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Basic details/images → pricing/packages/options → category-specific fields → review</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Save draft / submit for review</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Compact multi-select dialogs, field validation, review before submission</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Booking Request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Request status and event/service title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Client event facts → selected options/instructions → financial share/status</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Accept or decline with optional note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Atomic response, progress state, ownership error handling</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Coordinator Package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Package-management context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Name/type/status → description → marketplace-service selector → selected list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Save package / activate/deactivate</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Unavailable services cannot be activated; references stay linked to provider listings</w:t>
            </w:r>
          </w:p>
        </w:tc>
      </w:tr>
      <w:tr>
        <w:trPr>
          <w:cantSplit/>
        </w:trPr>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Support Ticket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Ticket list/detail context</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Subject → description → optional event/booking reference → threaded replies</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Create ticket / send reply</w:t>
            </w:r>
          </w:p>
        </w:tc>
        <w:tc>
          <w:tcPr>
            <w:tcW w:type="dxa" w:w="1976"/>
            <w:vAlign w:val="center"/>
            <w:tcMar>
              <w:top w:w="70" w:type="dxa"/>
              <w:start w:w="90" w:type="dxa"/>
              <w:bottom w:w="70" w:type="dxa"/>
              <w:end w:w="90" w:type="dxa"/>
            </w:tcMar>
            <w:shd w:fill="FFFFFF"/>
          </w:tcPr>
          <w:p>
            <w:pPr>
              <w:spacing w:after="0"/>
            </w:pPr>
            <w:r/>
            <w:r>
              <w:rPr>
                <w:rFonts w:ascii="Times New Roman" w:hAnsi="Times New Roman"/>
                <w:b w:val="0"/>
                <w:sz w:val="14"/>
              </w:rPr>
              <w:t>Length limits, closed-state notice, role-scoped related records</w:t>
            </w:r>
          </w:p>
        </w:tc>
      </w:tr>
    </w:tbl>
    <w:p/>
    <w:p/>
    <w:p>
      <w:pPr>
        <w:jc w:val="center"/>
      </w:pPr>
      <w:r>
        <w:rPr>
          <w:b/>
          <w:color w:val="000000"/>
        </w:rPr>
        <w:t>End of implementation-grounded programmer manuscript</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6"/>
      </w:rPr>
      <w:t>MULTIVENT  |  Programmer’s Chapter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MULTIVENT Programmer’s Chapter Manuscript</dc:title>
  <dc:subject>System architecture, design, interface, testing, and evaluation</dc:subject>
  <dc:creator>MULTIVENT Capstone Team</dc:creator>
  <cp:keywords>MULTIVENT, architecture, ERD, DFD, use case, ISO 25010, sentiment analysis</cp:keywords>
  <dc:description>generated by python-docx</dc:description>
  <cp:lastModifiedBy/>
  <cp:revision>1</cp:revision>
  <dcterms:created xsi:type="dcterms:W3CDTF">2013-12-23T23:15:00Z</dcterms:created>
  <dcterms:modified xsi:type="dcterms:W3CDTF">2013-12-23T23:15:00Z</dcterms:modified>
  <cp:category/>
</cp:coreProperties>
</file>