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Beretta · CyberUW</w:t>
      </w:r>
    </w:p>
    <w:p>
      <w:pPr>
        <w:spacing w:after="60" w:line="3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Cyber Insurance Proposal Form: Rating Addendum</w:t>
      </w:r>
    </w:p>
    <w:p>
      <w:pPr>
        <w:spacing w:after="200" w:line="3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CYBERUW-IQ-1.1 Addendum · attach to CYBERUW-IQ-1.0 · pricing model UNDERWRITING_MODEL_V2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Complete this addendum with the full proposal form. It asks the facts the premium model rates on that the 1.0 form does not ask directly. Where a question already exists in the 1.0 form, it is referenced, not repeated. Answer "Don't know" rather than guess: an unknown control is priced the same as a missing one, but a wrong answer can void cover (R8).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R1–R4 · Classification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R1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NIC 2008 code of the main business activity (at least the 2-digit division; 4 or 5 digits if known).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The division sets the rating sector, for example 62 computer programming, 86 human health, 47 retail trade.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R2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Annual turnover for the last full financial year, in ₹ (see also B1.1).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₹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R3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Years in operation (see also A3, year established).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R4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 the company regulated by the Reserve Bank of India or the Securities and Exchange Board of India?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If yes, name the regulator and the registration or licence number.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R5 · Material incidents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 material incident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is any cyber incident in the last 3 years that caused a financial loss above the retention applied for in Section P, or required a notification under the DPDP Act 2023 or to CERT-In, or involved a decision on whether to pay a ransom.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R5.1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Number of material incidents in the last 3 years.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R5.2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each one: date, type, loss in ₹, and whether it was notified (also describe in Section O).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R6 · Priced security controls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These are the controls the premium depends on. The letter in brackets is the 1.0 section with the detailed questions. A control evidenced by the monitoring agent or an independent report (SOC 2 Type II, ISO 27001 SoA, VAPT, scanner export, restore-test report) earns its full credit; a "Yes" without evidence earns part of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R6.1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Multi-factor authentication enforced for remote access, email and privileged accounts (F)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R6.2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Endpoint detection and response running on managed endpoints (H)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R6.3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Backups that have been restore-tested in the last 12 months (J)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R6.4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Critical vulnerabilities patched within 7 days (I)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R6.5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High-severity vulnerabilities patched within 7 days (I)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R6.6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Endpoint privilege management: local administrator rights removed or controlled (F)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R6.7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Hardening baselines (CIS or equivalent) applied; no internet-exposed RDP/SMB (E)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R6.8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Central logging with alerting reviewed by a SOC or SIEM (H)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R6.9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Phishing simulation for all staff at least once a year (N)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R6.10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 attachment sandboxing, with SPF, DKIM and DMARC enforced (G)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R6.11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 written incident response plan, exercised in the last 12 months (N)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R6.12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Full-disk encryption on endpoints and encryption at rest for data stores (C)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R7 · Payment verification (not priced)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126"/>
        <w:gridCol w:w="3000"/>
      </w:tblGrid>
      <w:tr>
        <w:trPr>
          <w:tblHeader/>
        </w:trP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R7</w:t>
            </w:r>
          </w:p>
        </w:tc>
        <w:tc>
          <w:tcPr>
            <w:tcW w:type="dxa" w:w="5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Are payment-instruction changes and new payees verified by a call-back to a known number, or by dual approval, before any funds are sent? (see also M4)</w:t>
            </w:r>
          </w:p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Recorded for underwriting and claims; no published effect size exists yet, so it does not change the premium.</w:t>
            </w:r>
          </w:p>
        </w:tc>
        <w:tc>
          <w:tcPr>
            <w:tcW w:type="dxa" w:w="3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Yes   ☐ No   ☐ Don't know</w:t>
            </w:r>
          </w:p>
        </w:tc>
      </w:tr>
    </w:tbl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R8 · Declaration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 declare that the answers in this addendum and in the proposal form are true and complete to the best of my knowledge, and that I have not withheld any material fact. I understand that a false statement, or the non-disclosure of a material fact, may void cover from inception, including cover for any claim arising from the matter misstated. I will tell the insurer promptly if any answer changes before the policy is bound.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126"/>
        <w:gridCol w:w="4000"/>
      </w:tblGrid>
      <w:tr>
        <w:trPr>
          <w:tblHeader/>
        </w:trP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Ref</w:t>
            </w:r>
          </w:p>
        </w:tc>
        <w:tc>
          <w:tcPr>
            <w:tcW w:type="dxa" w:w="4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shd w:fill="EAEDF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 and designation of the authorised signatory</w:t>
            </w:r>
          </w:p>
        </w:tc>
        <w:tc>
          <w:tcPr>
            <w:tcW w:type="dxa" w:w="4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4126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 and place</w:t>
            </w:r>
          </w:p>
        </w:tc>
        <w:tc>
          <w:tcPr>
            <w:tcW w:type="dxa" w:w="4000"/>
            <w:tcBorders>
              <w:top w:val="single" w:color="9AA4B5" w:sz="4"/>
              <w:left w:val="single" w:color="9AA4B5" w:sz="4"/>
              <w:bottom w:val="single" w:color="9AA4B5" w:sz="4"/>
              <w:right w:val="single" w:color="9AA4B5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CYBERUW-IQ-1.1 Addendum ·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CYBERUW-IQ-1.1 Rating Addendum</dc:title>
  <dc:creator>Beretta capstone team</dc:creator>
  <cp:lastModifiedBy>Un-named</cp:lastModifiedBy>
  <cp:revision>1</cp:revision>
  <dcterms:created xsi:type="dcterms:W3CDTF">2026-10-28T20:42:56.031Z</dcterms:created>
  <dcterms:modified xsi:type="dcterms:W3CDTF">2026-10-28T20:42:56.032Z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