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libri" w:cs="Calibri" w:eastAsia="Calibri" w:hAnsi="Calibri"/>
          <w:b/>
          <w:bCs/>
          <w:color w:val="0F5C3A"/>
          <w:sz w:val="44"/>
          <w:szCs w:val="44"/>
        </w:rPr>
        <w:t xml:space="preserve">Anti-Money Laundering &amp; CFT Policy</w:t>
      </w:r>
    </w:p>
    <w:p>
      <w:pPr>
        <w:spacing w:after="360"/>
        <w:jc w:val="center"/>
      </w:pPr>
      <w:r>
        <w:rPr>
          <w:rFonts w:ascii="Calibri" w:cs="Calibri" w:eastAsia="Calibri" w:hAnsi="Calibri"/>
          <w:i/>
          <w:iCs/>
          <w:color w:val="555555"/>
          <w:sz w:val="24"/>
          <w:szCs w:val="24"/>
        </w:rPr>
        <w:t xml:space="preserve">Wesave Platform — Operated by LLH Premium Enterprise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F1F8F4" w:val="clear"/>
            <w:tcMar>
              <w:top w:type="dxa" w:w="100"/>
              <w:left w:type="dxa" w:w="140"/>
              <w:bottom w:type="dxa" w:w="100"/>
              <w:right w:type="dxa" w:w="140"/>
            </w:tcMar>
          </w:tcPr>
          <w:p>
            <w:r>
              <w:rPr>
                <w:rFonts w:ascii="Calibri" w:cs="Calibri" w:eastAsia="Calibri" w:hAnsi="Calibri"/>
                <w:b/>
                <w:bCs/>
                <w:sz w:val="22"/>
                <w:szCs w:val="22"/>
              </w:rPr>
              <w:t xml:space="preserve">Document Owner</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2"/>
                <w:szCs w:val="22"/>
              </w:rPr>
              <w:t xml:space="preserve">LLH Premium Enterprise (Wesave)</w:t>
            </w:r>
          </w:p>
        </w:tc>
      </w:tr>
      <w:tr>
        <w:tc>
          <w:tcPr>
            <w:tcW w:type="dxa" w:w="3000"/>
            <w:tcBorders>
              <w:top w:val="single" w:color="CCCCCC" w:sz="4"/>
              <w:left w:val="single" w:color="CCCCCC" w:sz="4"/>
              <w:bottom w:val="single" w:color="CCCCCC" w:sz="4"/>
              <w:right w:val="single" w:color="CCCCCC" w:sz="4"/>
            </w:tcBorders>
            <w:shd w:fill="F1F8F4" w:val="clear"/>
            <w:tcMar>
              <w:top w:type="dxa" w:w="100"/>
              <w:left w:type="dxa" w:w="140"/>
              <w:bottom w:type="dxa" w:w="100"/>
              <w:right w:type="dxa" w:w="140"/>
            </w:tcMar>
          </w:tcPr>
          <w:p>
            <w:r>
              <w:rPr>
                <w:rFonts w:ascii="Calibri" w:cs="Calibri" w:eastAsia="Calibri" w:hAnsi="Calibri"/>
                <w:b/>
                <w:bCs/>
                <w:sz w:val="22"/>
                <w:szCs w:val="22"/>
              </w:rPr>
              <w:t xml:space="preserve">Version</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2"/>
                <w:szCs w:val="22"/>
              </w:rPr>
              <w:t xml:space="preserve">1.0</w:t>
            </w:r>
          </w:p>
        </w:tc>
      </w:tr>
      <w:tr>
        <w:tc>
          <w:tcPr>
            <w:tcW w:type="dxa" w:w="3000"/>
            <w:tcBorders>
              <w:top w:val="single" w:color="CCCCCC" w:sz="4"/>
              <w:left w:val="single" w:color="CCCCCC" w:sz="4"/>
              <w:bottom w:val="single" w:color="CCCCCC" w:sz="4"/>
              <w:right w:val="single" w:color="CCCCCC" w:sz="4"/>
            </w:tcBorders>
            <w:shd w:fill="F1F8F4" w:val="clear"/>
            <w:tcMar>
              <w:top w:type="dxa" w:w="100"/>
              <w:left w:type="dxa" w:w="140"/>
              <w:bottom w:type="dxa" w:w="100"/>
              <w:right w:type="dxa" w:w="140"/>
            </w:tcMar>
          </w:tcPr>
          <w:p>
            <w:r>
              <w:rPr>
                <w:rFonts w:ascii="Calibri" w:cs="Calibri" w:eastAsia="Calibri" w:hAnsi="Calibri"/>
                <w:b/>
                <w:bCs/>
                <w:sz w:val="22"/>
                <w:szCs w:val="22"/>
              </w:rPr>
              <w:t xml:space="preserve">Effective Date</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2"/>
                <w:szCs w:val="22"/>
              </w:rPr>
              <w:t xml:space="preserve">April 2026</w:t>
            </w:r>
          </w:p>
        </w:tc>
      </w:tr>
      <w:tr>
        <w:tc>
          <w:tcPr>
            <w:tcW w:type="dxa" w:w="3000"/>
            <w:tcBorders>
              <w:top w:val="single" w:color="CCCCCC" w:sz="4"/>
              <w:left w:val="single" w:color="CCCCCC" w:sz="4"/>
              <w:bottom w:val="single" w:color="CCCCCC" w:sz="4"/>
              <w:right w:val="single" w:color="CCCCCC" w:sz="4"/>
            </w:tcBorders>
            <w:shd w:fill="F1F8F4" w:val="clear"/>
            <w:tcMar>
              <w:top w:type="dxa" w:w="100"/>
              <w:left w:type="dxa" w:w="140"/>
              <w:bottom w:type="dxa" w:w="100"/>
              <w:right w:type="dxa" w:w="140"/>
            </w:tcMar>
          </w:tcPr>
          <w:p>
            <w:r>
              <w:rPr>
                <w:rFonts w:ascii="Calibri" w:cs="Calibri" w:eastAsia="Calibri" w:hAnsi="Calibri"/>
                <w:b/>
                <w:bCs/>
                <w:sz w:val="22"/>
                <w:szCs w:val="22"/>
              </w:rPr>
              <w:t xml:space="preserve">Review Cycle</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2"/>
                <w:szCs w:val="22"/>
              </w:rPr>
              <w:t xml:space="preserve">Annual</w:t>
            </w:r>
          </w:p>
        </w:tc>
      </w:tr>
      <w:tr>
        <w:tc>
          <w:tcPr>
            <w:tcW w:type="dxa" w:w="3000"/>
            <w:tcBorders>
              <w:top w:val="single" w:color="CCCCCC" w:sz="4"/>
              <w:left w:val="single" w:color="CCCCCC" w:sz="4"/>
              <w:bottom w:val="single" w:color="CCCCCC" w:sz="4"/>
              <w:right w:val="single" w:color="CCCCCC" w:sz="4"/>
            </w:tcBorders>
            <w:shd w:fill="F1F8F4" w:val="clear"/>
            <w:tcMar>
              <w:top w:type="dxa" w:w="100"/>
              <w:left w:type="dxa" w:w="140"/>
              <w:bottom w:type="dxa" w:w="100"/>
              <w:right w:type="dxa" w:w="140"/>
            </w:tcMar>
          </w:tcPr>
          <w:p>
            <w:r>
              <w:rPr>
                <w:rFonts w:ascii="Calibri" w:cs="Calibri" w:eastAsia="Calibri" w:hAnsi="Calibri"/>
                <w:b/>
                <w:bCs/>
                <w:sz w:val="22"/>
                <w:szCs w:val="22"/>
              </w:rPr>
              <w:t xml:space="preserve">Approved By</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2"/>
                <w:szCs w:val="22"/>
              </w:rPr>
              <w:t xml:space="preserve">Compliance Officer &amp; Board of Directors</w:t>
            </w:r>
          </w:p>
        </w:tc>
      </w:tr>
      <w:tr>
        <w:tc>
          <w:tcPr>
            <w:tcW w:type="dxa" w:w="3000"/>
            <w:tcBorders>
              <w:top w:val="single" w:color="CCCCCC" w:sz="4"/>
              <w:left w:val="single" w:color="CCCCCC" w:sz="4"/>
              <w:bottom w:val="single" w:color="CCCCCC" w:sz="4"/>
              <w:right w:val="single" w:color="CCCCCC" w:sz="4"/>
            </w:tcBorders>
            <w:shd w:fill="F1F8F4" w:val="clear"/>
            <w:tcMar>
              <w:top w:type="dxa" w:w="100"/>
              <w:left w:type="dxa" w:w="140"/>
              <w:bottom w:type="dxa" w:w="100"/>
              <w:right w:type="dxa" w:w="140"/>
            </w:tcMar>
          </w:tcPr>
          <w:p>
            <w:r>
              <w:rPr>
                <w:rFonts w:ascii="Calibri" w:cs="Calibri" w:eastAsia="Calibri" w:hAnsi="Calibri"/>
                <w:b/>
                <w:bCs/>
                <w:sz w:val="22"/>
                <w:szCs w:val="22"/>
              </w:rPr>
              <w:t xml:space="preserve">Classification</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2"/>
                <w:szCs w:val="22"/>
              </w:rPr>
              <w:t xml:space="preserve">Confidential — Regulator Distribution</w:t>
            </w:r>
          </w:p>
        </w:tc>
      </w:tr>
    </w:tbl>
    <w:p>
      <w:r>
        <w:br w:type="page"/>
      </w:r>
    </w:p>
    <w:p>
      <w:pPr>
        <w:pStyle w:val="Heading1"/>
        <w:spacing w:after="200" w:before="360"/>
      </w:pPr>
      <w:r>
        <w:rPr>
          <w:rFonts w:ascii="Calibri" w:cs="Calibri" w:eastAsia="Calibri" w:hAnsi="Calibri"/>
          <w:b/>
          <w:bCs/>
          <w:color w:val="0F5C3A"/>
          <w:sz w:val="36"/>
          <w:szCs w:val="36"/>
        </w:rPr>
        <w:t xml:space="preserve">1. Purpose &amp; Scope</w:t>
      </w:r>
    </w:p>
    <w:p>
      <w:pPr>
        <w:spacing w:after="120" w:line="320"/>
        <w:jc w:val="both"/>
      </w:pPr>
      <w:r>
        <w:rPr>
          <w:rFonts w:ascii="Calibri" w:cs="Calibri" w:eastAsia="Calibri" w:hAnsi="Calibri"/>
          <w:sz w:val="22"/>
          <w:szCs w:val="22"/>
        </w:rPr>
        <w:t xml:space="preserve">This Anti-Money Laundering (AML) and Counter-Financing of Terrorism (CFT) Policy establishes the framework adopted by LLH Premium Enterprise (operator of the Wesave platform, hereinafter referred to as “Wesave”) to detect, prevent, and report money laundering, terrorist financing, and other financial crimes in accordance with the Money Laundering (Prevention and Prohibition) Act 2022, the CBN AML/CFT/CPF Regulations 2022 (as amended), the Terrorism (Prevention and Prohibition) Act 2022, and applicable directives issued by the Nigerian Financial Intelligence Unit (NFIU) and the Securities and Exchange Commission (SEC) of Nigeria where relevant.</w:t>
      </w:r>
    </w:p>
    <w:p>
      <w:pPr>
        <w:spacing w:after="120" w:line="320"/>
        <w:jc w:val="both"/>
      </w:pPr>
      <w:r>
        <w:rPr>
          <w:rFonts w:ascii="Calibri" w:cs="Calibri" w:eastAsia="Calibri" w:hAnsi="Calibri"/>
          <w:sz w:val="22"/>
          <w:szCs w:val="22"/>
        </w:rPr>
        <w:t xml:space="preserve">The policy applies to all directors, employees, contractors, third-party processors, and partner financial institutions (including VFD Microfinance Bank and Flutterwave) involved in the operation of Wesave digital thrift, savings, and contribution coordination services.</w:t>
      </w:r>
    </w:p>
    <w:p>
      <w:pPr>
        <w:pStyle w:val="Heading1"/>
        <w:spacing w:after="200" w:before="360"/>
      </w:pPr>
      <w:r>
        <w:rPr>
          <w:rFonts w:ascii="Calibri" w:cs="Calibri" w:eastAsia="Calibri" w:hAnsi="Calibri"/>
          <w:b/>
          <w:bCs/>
          <w:color w:val="0F5C3A"/>
          <w:sz w:val="36"/>
          <w:szCs w:val="36"/>
        </w:rPr>
        <w:t xml:space="preserve">2. Regulatory Framework</w:t>
      </w:r>
    </w:p>
    <w:p>
      <w:pPr>
        <w:pStyle w:val="ListParagraph"/>
        <w:numPr>
          <w:ilvl w:val="0"/>
          <w:numId w:val="2"/>
        </w:numPr>
        <w:spacing w:after="80" w:line="300"/>
      </w:pPr>
      <w:r>
        <w:rPr>
          <w:rFonts w:ascii="Calibri" w:cs="Calibri" w:eastAsia="Calibri" w:hAnsi="Calibri"/>
          <w:sz w:val="22"/>
          <w:szCs w:val="22"/>
        </w:rPr>
        <w:t xml:space="preserve">Money Laundering (Prevention and Prohibition) Act, 2022.</w:t>
      </w:r>
    </w:p>
    <w:p>
      <w:pPr>
        <w:pStyle w:val="ListParagraph"/>
        <w:numPr>
          <w:ilvl w:val="0"/>
          <w:numId w:val="2"/>
        </w:numPr>
        <w:spacing w:after="80" w:line="300"/>
      </w:pPr>
      <w:r>
        <w:rPr>
          <w:rFonts w:ascii="Calibri" w:cs="Calibri" w:eastAsia="Calibri" w:hAnsi="Calibri"/>
          <w:sz w:val="22"/>
          <w:szCs w:val="22"/>
        </w:rPr>
        <w:t xml:space="preserve">Terrorism (Prevention and Prohibition) Act, 2022.</w:t>
      </w:r>
    </w:p>
    <w:p>
      <w:pPr>
        <w:pStyle w:val="ListParagraph"/>
        <w:numPr>
          <w:ilvl w:val="0"/>
          <w:numId w:val="2"/>
        </w:numPr>
        <w:spacing w:after="80" w:line="300"/>
      </w:pPr>
      <w:r>
        <w:rPr>
          <w:rFonts w:ascii="Calibri" w:cs="Calibri" w:eastAsia="Calibri" w:hAnsi="Calibri"/>
          <w:sz w:val="22"/>
          <w:szCs w:val="22"/>
        </w:rPr>
        <w:t xml:space="preserve">Central Bank of Nigeria (CBN) AML/CFT/CPF Regulations, 2022.</w:t>
      </w:r>
    </w:p>
    <w:p>
      <w:pPr>
        <w:pStyle w:val="ListParagraph"/>
        <w:numPr>
          <w:ilvl w:val="0"/>
          <w:numId w:val="2"/>
        </w:numPr>
        <w:spacing w:after="80" w:line="300"/>
      </w:pPr>
      <w:r>
        <w:rPr>
          <w:rFonts w:ascii="Calibri" w:cs="Calibri" w:eastAsia="Calibri" w:hAnsi="Calibri"/>
          <w:sz w:val="22"/>
          <w:szCs w:val="22"/>
        </w:rPr>
        <w:t xml:space="preserve">Nigerian Financial Intelligence Unit (NFIU) Guidelines on Suspicious Transaction Reporting.</w:t>
      </w:r>
    </w:p>
    <w:p>
      <w:pPr>
        <w:pStyle w:val="ListParagraph"/>
        <w:numPr>
          <w:ilvl w:val="0"/>
          <w:numId w:val="2"/>
        </w:numPr>
        <w:spacing w:after="80" w:line="300"/>
      </w:pPr>
      <w:r>
        <w:rPr>
          <w:rFonts w:ascii="Calibri" w:cs="Calibri" w:eastAsia="Calibri" w:hAnsi="Calibri"/>
          <w:sz w:val="22"/>
          <w:szCs w:val="22"/>
        </w:rPr>
        <w:t xml:space="preserve">CBN Guidelines on Operations of Electronic Payment Channels and Mobile Money Services.</w:t>
      </w:r>
    </w:p>
    <w:p>
      <w:pPr>
        <w:pStyle w:val="ListParagraph"/>
        <w:numPr>
          <w:ilvl w:val="0"/>
          <w:numId w:val="2"/>
        </w:numPr>
        <w:spacing w:after="80" w:line="300"/>
      </w:pPr>
      <w:r>
        <w:rPr>
          <w:rFonts w:ascii="Calibri" w:cs="Calibri" w:eastAsia="Calibri" w:hAnsi="Calibri"/>
          <w:sz w:val="22"/>
          <w:szCs w:val="22"/>
        </w:rPr>
        <w:t xml:space="preserve">Nigeria Data Protection Act (NDPA), 2023 — for handling personal data linked to AML investigations.</w:t>
      </w:r>
    </w:p>
    <w:p>
      <w:pPr>
        <w:pStyle w:val="Heading1"/>
        <w:spacing w:after="200" w:before="360"/>
      </w:pPr>
      <w:r>
        <w:rPr>
          <w:rFonts w:ascii="Calibri" w:cs="Calibri" w:eastAsia="Calibri" w:hAnsi="Calibri"/>
          <w:b/>
          <w:bCs/>
          <w:color w:val="0F5C3A"/>
          <w:sz w:val="36"/>
          <w:szCs w:val="36"/>
        </w:rPr>
        <w:t xml:space="preserve">3. Risk-Based Approach</w:t>
      </w:r>
    </w:p>
    <w:p>
      <w:pPr>
        <w:spacing w:after="120" w:line="320"/>
        <w:jc w:val="both"/>
      </w:pPr>
      <w:r>
        <w:rPr>
          <w:rFonts w:ascii="Calibri" w:cs="Calibri" w:eastAsia="Calibri" w:hAnsi="Calibri"/>
          <w:sz w:val="22"/>
          <w:szCs w:val="22"/>
        </w:rPr>
        <w:t xml:space="preserve">Wesave applies a Risk-Based Approach (RBA) to AML/CFT compliance. Customers, products, geographies, and transaction channels are profiled and classified into Low, Medium, or High risk categories. The intensity of due diligence and ongoing monitoring is calibrated to the risk rating assigned.</w:t>
      </w:r>
    </w:p>
    <w:p>
      <w:pPr>
        <w:spacing w:after="100" w:before="200"/>
      </w:pPr>
      <w:r>
        <w:rPr>
          <w:rFonts w:ascii="Calibri" w:cs="Calibri" w:eastAsia="Calibri" w:hAnsi="Calibri"/>
          <w:b/>
          <w:bCs/>
          <w:sz w:val="24"/>
          <w:szCs w:val="24"/>
        </w:rPr>
        <w:t xml:space="preserve">3.1 Customer Risk Factors</w:t>
      </w:r>
    </w:p>
    <w:p>
      <w:pPr>
        <w:pStyle w:val="ListParagraph"/>
        <w:numPr>
          <w:ilvl w:val="0"/>
          <w:numId w:val="2"/>
        </w:numPr>
        <w:spacing w:after="80" w:line="300"/>
      </w:pPr>
      <w:r>
        <w:rPr>
          <w:rFonts w:ascii="Calibri" w:cs="Calibri" w:eastAsia="Calibri" w:hAnsi="Calibri"/>
          <w:sz w:val="22"/>
          <w:szCs w:val="22"/>
        </w:rPr>
        <w:t xml:space="preserve">Politically Exposed Persons (PEPs) and their close associates — High Risk.</w:t>
      </w:r>
    </w:p>
    <w:p>
      <w:pPr>
        <w:pStyle w:val="ListParagraph"/>
        <w:numPr>
          <w:ilvl w:val="0"/>
          <w:numId w:val="2"/>
        </w:numPr>
        <w:spacing w:after="80" w:line="300"/>
      </w:pPr>
      <w:r>
        <w:rPr>
          <w:rFonts w:ascii="Calibri" w:cs="Calibri" w:eastAsia="Calibri" w:hAnsi="Calibri"/>
          <w:sz w:val="22"/>
          <w:szCs w:val="22"/>
        </w:rPr>
        <w:t xml:space="preserve">Customers transacting from FATF high-risk and non-cooperative jurisdictions — High Risk.</w:t>
      </w:r>
    </w:p>
    <w:p>
      <w:pPr>
        <w:pStyle w:val="ListParagraph"/>
        <w:numPr>
          <w:ilvl w:val="0"/>
          <w:numId w:val="2"/>
        </w:numPr>
        <w:spacing w:after="80" w:line="300"/>
      </w:pPr>
      <w:r>
        <w:rPr>
          <w:rFonts w:ascii="Calibri" w:cs="Calibri" w:eastAsia="Calibri" w:hAnsi="Calibri"/>
          <w:sz w:val="22"/>
          <w:szCs w:val="22"/>
        </w:rPr>
        <w:t xml:space="preserve">Customers using association/group wallets with multiple beneficiaries — Medium Risk.</w:t>
      </w:r>
    </w:p>
    <w:p>
      <w:pPr>
        <w:pStyle w:val="ListParagraph"/>
        <w:numPr>
          <w:ilvl w:val="0"/>
          <w:numId w:val="2"/>
        </w:numPr>
        <w:spacing w:after="80" w:line="300"/>
      </w:pPr>
      <w:r>
        <w:rPr>
          <w:rFonts w:ascii="Calibri" w:cs="Calibri" w:eastAsia="Calibri" w:hAnsi="Calibri"/>
          <w:sz w:val="22"/>
          <w:szCs w:val="22"/>
        </w:rPr>
        <w:t xml:space="preserve">Verified Tier-1 individual users with low transaction velocity — Low Risk.</w:t>
      </w:r>
    </w:p>
    <w:p>
      <w:pPr>
        <w:spacing w:after="100" w:before="200"/>
      </w:pPr>
      <w:r>
        <w:rPr>
          <w:rFonts w:ascii="Calibri" w:cs="Calibri" w:eastAsia="Calibri" w:hAnsi="Calibri"/>
          <w:b/>
          <w:bCs/>
          <w:sz w:val="24"/>
          <w:szCs w:val="24"/>
        </w:rPr>
        <w:t xml:space="preserve">3.2 Product Risk Factors</w:t>
      </w:r>
    </w:p>
    <w:p>
      <w:pPr>
        <w:pStyle w:val="ListParagraph"/>
        <w:numPr>
          <w:ilvl w:val="0"/>
          <w:numId w:val="2"/>
        </w:numPr>
        <w:spacing w:after="80" w:line="300"/>
      </w:pPr>
      <w:r>
        <w:rPr>
          <w:rFonts w:ascii="Calibri" w:cs="Calibri" w:eastAsia="Calibri" w:hAnsi="Calibri"/>
          <w:sz w:val="22"/>
          <w:szCs w:val="22"/>
        </w:rPr>
        <w:t xml:space="preserve">Rotating thrift (Ajo) groups — Medium risk due to multi-party payouts.</w:t>
      </w:r>
    </w:p>
    <w:p>
      <w:pPr>
        <w:pStyle w:val="ListParagraph"/>
        <w:numPr>
          <w:ilvl w:val="0"/>
          <w:numId w:val="2"/>
        </w:numPr>
        <w:spacing w:after="80" w:line="300"/>
      </w:pPr>
      <w:r>
        <w:rPr>
          <w:rFonts w:ascii="Calibri" w:cs="Calibri" w:eastAsia="Calibri" w:hAnsi="Calibri"/>
          <w:sz w:val="22"/>
          <w:szCs w:val="22"/>
        </w:rPr>
        <w:t xml:space="preserve">Goal/Crowdfunding campaigns — Medium-to-High risk due to inbound third-party funding.</w:t>
      </w:r>
    </w:p>
    <w:p>
      <w:pPr>
        <w:pStyle w:val="ListParagraph"/>
        <w:numPr>
          <w:ilvl w:val="0"/>
          <w:numId w:val="2"/>
        </w:numPr>
        <w:spacing w:after="80" w:line="300"/>
      </w:pPr>
      <w:r>
        <w:rPr>
          <w:rFonts w:ascii="Calibri" w:cs="Calibri" w:eastAsia="Calibri" w:hAnsi="Calibri"/>
          <w:sz w:val="22"/>
          <w:szCs w:val="22"/>
        </w:rPr>
        <w:t xml:space="preserve">Locked savings with interest accrual — Low risk.</w:t>
      </w:r>
    </w:p>
    <w:p>
      <w:pPr>
        <w:pStyle w:val="ListParagraph"/>
        <w:numPr>
          <w:ilvl w:val="0"/>
          <w:numId w:val="2"/>
        </w:numPr>
        <w:spacing w:after="80" w:line="300"/>
      </w:pPr>
      <w:r>
        <w:rPr>
          <w:rFonts w:ascii="Calibri" w:cs="Calibri" w:eastAsia="Calibri" w:hAnsi="Calibri"/>
          <w:sz w:val="22"/>
          <w:szCs w:val="22"/>
        </w:rPr>
        <w:t xml:space="preserve">Card-funded recurring contributions — Low risk (3DS-authenticated).</w:t>
      </w:r>
    </w:p>
    <w:p>
      <w:pPr>
        <w:pStyle w:val="Heading1"/>
        <w:spacing w:after="200" w:before="360"/>
      </w:pPr>
      <w:r>
        <w:rPr>
          <w:rFonts w:ascii="Calibri" w:cs="Calibri" w:eastAsia="Calibri" w:hAnsi="Calibri"/>
          <w:b/>
          <w:bCs/>
          <w:color w:val="0F5C3A"/>
          <w:sz w:val="36"/>
          <w:szCs w:val="36"/>
        </w:rPr>
        <w:t xml:space="preserve">4. Customer Due Diligence (CDD)</w:t>
      </w:r>
    </w:p>
    <w:p>
      <w:pPr>
        <w:spacing w:after="120" w:line="320"/>
        <w:jc w:val="both"/>
      </w:pPr>
      <w:r>
        <w:rPr>
          <w:rFonts w:ascii="Calibri" w:cs="Calibri" w:eastAsia="Calibri" w:hAnsi="Calibri"/>
          <w:sz w:val="22"/>
          <w:szCs w:val="22"/>
        </w:rPr>
        <w:t xml:space="preserve">Wesave performs CDD on every user prior to activation of any wallet, group, or financial product. CDD is performed in tiers consistent with the CBN’s 3-Tier KYC framework.</w:t>
      </w:r>
    </w:p>
    <w:p>
      <w:pPr>
        <w:spacing w:after="100" w:before="200"/>
      </w:pPr>
      <w:r>
        <w:rPr>
          <w:rFonts w:ascii="Calibri" w:cs="Calibri" w:eastAsia="Calibri" w:hAnsi="Calibri"/>
          <w:b/>
          <w:bCs/>
          <w:sz w:val="24"/>
          <w:szCs w:val="24"/>
        </w:rPr>
        <w:t xml:space="preserve">4.1 Tier 1 — Simplified Due Diligence</w:t>
      </w:r>
    </w:p>
    <w:p>
      <w:pPr>
        <w:pStyle w:val="ListParagraph"/>
        <w:numPr>
          <w:ilvl w:val="0"/>
          <w:numId w:val="2"/>
        </w:numPr>
        <w:spacing w:after="80" w:line="300"/>
      </w:pPr>
      <w:r>
        <w:rPr>
          <w:rFonts w:ascii="Calibri" w:cs="Calibri" w:eastAsia="Calibri" w:hAnsi="Calibri"/>
          <w:sz w:val="22"/>
          <w:szCs w:val="22"/>
        </w:rPr>
        <w:t xml:space="preserve">Verified mobile number and email.</w:t>
      </w:r>
    </w:p>
    <w:p>
      <w:pPr>
        <w:pStyle w:val="ListParagraph"/>
        <w:numPr>
          <w:ilvl w:val="0"/>
          <w:numId w:val="2"/>
        </w:numPr>
        <w:spacing w:after="80" w:line="300"/>
      </w:pPr>
      <w:r>
        <w:rPr>
          <w:rFonts w:ascii="Calibri" w:cs="Calibri" w:eastAsia="Calibri" w:hAnsi="Calibri"/>
          <w:sz w:val="22"/>
          <w:szCs w:val="22"/>
        </w:rPr>
        <w:t xml:space="preserve">Daily transaction limit: ₦50,000. Cumulative balance limit: ₦300,000.</w:t>
      </w:r>
    </w:p>
    <w:p>
      <w:pPr>
        <w:spacing w:after="100" w:before="200"/>
      </w:pPr>
      <w:r>
        <w:rPr>
          <w:rFonts w:ascii="Calibri" w:cs="Calibri" w:eastAsia="Calibri" w:hAnsi="Calibri"/>
          <w:b/>
          <w:bCs/>
          <w:sz w:val="24"/>
          <w:szCs w:val="24"/>
        </w:rPr>
        <w:t xml:space="preserve">4.2 Tier 2 — Standard Due Diligence</w:t>
      </w:r>
    </w:p>
    <w:p>
      <w:pPr>
        <w:pStyle w:val="ListParagraph"/>
        <w:numPr>
          <w:ilvl w:val="0"/>
          <w:numId w:val="2"/>
        </w:numPr>
        <w:spacing w:after="80" w:line="300"/>
      </w:pPr>
      <w:r>
        <w:rPr>
          <w:rFonts w:ascii="Calibri" w:cs="Calibri" w:eastAsia="Calibri" w:hAnsi="Calibri"/>
          <w:sz w:val="22"/>
          <w:szCs w:val="22"/>
        </w:rPr>
        <w:t xml:space="preserve">Verified Bank Verification Number (BVN) matched to full name and date of birth.</w:t>
      </w:r>
    </w:p>
    <w:p>
      <w:pPr>
        <w:pStyle w:val="ListParagraph"/>
        <w:numPr>
          <w:ilvl w:val="0"/>
          <w:numId w:val="2"/>
        </w:numPr>
        <w:spacing w:after="80" w:line="300"/>
      </w:pPr>
      <w:r>
        <w:rPr>
          <w:rFonts w:ascii="Calibri" w:cs="Calibri" w:eastAsia="Calibri" w:hAnsi="Calibri"/>
          <w:sz w:val="22"/>
          <w:szCs w:val="22"/>
        </w:rPr>
        <w:t xml:space="preserve">Government-issued ID (NIN, Driver’s Licence, International Passport, or Voter’s Card).</w:t>
      </w:r>
    </w:p>
    <w:p>
      <w:pPr>
        <w:pStyle w:val="ListParagraph"/>
        <w:numPr>
          <w:ilvl w:val="0"/>
          <w:numId w:val="2"/>
        </w:numPr>
        <w:spacing w:after="80" w:line="300"/>
      </w:pPr>
      <w:r>
        <w:rPr>
          <w:rFonts w:ascii="Calibri" w:cs="Calibri" w:eastAsia="Calibri" w:hAnsi="Calibri"/>
          <w:sz w:val="22"/>
          <w:szCs w:val="22"/>
        </w:rPr>
        <w:t xml:space="preserve">Daily transaction limit: ₦200,000. Cumulative balance limit: ₦500,000.</w:t>
      </w:r>
    </w:p>
    <w:p>
      <w:pPr>
        <w:spacing w:after="100" w:before="200"/>
      </w:pPr>
      <w:r>
        <w:rPr>
          <w:rFonts w:ascii="Calibri" w:cs="Calibri" w:eastAsia="Calibri" w:hAnsi="Calibri"/>
          <w:b/>
          <w:bCs/>
          <w:sz w:val="24"/>
          <w:szCs w:val="24"/>
        </w:rPr>
        <w:t xml:space="preserve">4.3 Tier 3 — Enhanced Due Diligence (EDD)</w:t>
      </w:r>
    </w:p>
    <w:p>
      <w:pPr>
        <w:pStyle w:val="ListParagraph"/>
        <w:numPr>
          <w:ilvl w:val="0"/>
          <w:numId w:val="2"/>
        </w:numPr>
        <w:spacing w:after="80" w:line="300"/>
      </w:pPr>
      <w:r>
        <w:rPr>
          <w:rFonts w:ascii="Calibri" w:cs="Calibri" w:eastAsia="Calibri" w:hAnsi="Calibri"/>
          <w:sz w:val="22"/>
          <w:szCs w:val="22"/>
        </w:rPr>
        <w:t xml:space="preserve">Proof of address (utility bill or bank statement, not older than 3 months).</w:t>
      </w:r>
    </w:p>
    <w:p>
      <w:pPr>
        <w:pStyle w:val="ListParagraph"/>
        <w:numPr>
          <w:ilvl w:val="0"/>
          <w:numId w:val="2"/>
        </w:numPr>
        <w:spacing w:after="80" w:line="300"/>
      </w:pPr>
      <w:r>
        <w:rPr>
          <w:rFonts w:ascii="Calibri" w:cs="Calibri" w:eastAsia="Calibri" w:hAnsi="Calibri"/>
          <w:sz w:val="22"/>
          <w:szCs w:val="22"/>
        </w:rPr>
        <w:t xml:space="preserve">Source of funds declaration for transactions exceeding ₦5,000,000.</w:t>
      </w:r>
    </w:p>
    <w:p>
      <w:pPr>
        <w:pStyle w:val="ListParagraph"/>
        <w:numPr>
          <w:ilvl w:val="0"/>
          <w:numId w:val="2"/>
        </w:numPr>
        <w:spacing w:after="80" w:line="300"/>
      </w:pPr>
      <w:r>
        <w:rPr>
          <w:rFonts w:ascii="Calibri" w:cs="Calibri" w:eastAsia="Calibri" w:hAnsi="Calibri"/>
          <w:sz w:val="22"/>
          <w:szCs w:val="22"/>
        </w:rPr>
        <w:t xml:space="preserve">In-person or video-verified onboarding for High-Risk customers and PEPs.</w:t>
      </w:r>
    </w:p>
    <w:p>
      <w:pPr>
        <w:pStyle w:val="ListParagraph"/>
        <w:numPr>
          <w:ilvl w:val="0"/>
          <w:numId w:val="2"/>
        </w:numPr>
        <w:spacing w:after="80" w:line="300"/>
      </w:pPr>
      <w:r>
        <w:rPr>
          <w:rFonts w:ascii="Calibri" w:cs="Calibri" w:eastAsia="Calibri" w:hAnsi="Calibri"/>
          <w:sz w:val="22"/>
          <w:szCs w:val="22"/>
        </w:rPr>
        <w:t xml:space="preserve">Senior management approval before account activation.</w:t>
      </w:r>
    </w:p>
    <w:p>
      <w:pPr>
        <w:pStyle w:val="Heading1"/>
        <w:spacing w:after="200" w:before="360"/>
      </w:pPr>
      <w:r>
        <w:rPr>
          <w:rFonts w:ascii="Calibri" w:cs="Calibri" w:eastAsia="Calibri" w:hAnsi="Calibri"/>
          <w:b/>
          <w:bCs/>
          <w:color w:val="0F5C3A"/>
          <w:sz w:val="36"/>
          <w:szCs w:val="36"/>
        </w:rPr>
        <w:t xml:space="preserve">5. Ongoing Monitoring &amp; Transaction Surveillance</w:t>
      </w:r>
    </w:p>
    <w:p>
      <w:pPr>
        <w:spacing w:after="120" w:line="320"/>
        <w:jc w:val="both"/>
      </w:pPr>
      <w:r>
        <w:rPr>
          <w:rFonts w:ascii="Calibri" w:cs="Calibri" w:eastAsia="Calibri" w:hAnsi="Calibri"/>
          <w:sz w:val="22"/>
          <w:szCs w:val="22"/>
        </w:rPr>
        <w:t xml:space="preserve">Wesave continuously monitors customer activity through automated rules engines integrated into its ledger and payment processing layer. Alerts are generated in real time and reviewed by the Compliance team within one (1) business day.</w:t>
      </w:r>
    </w:p>
    <w:p>
      <w:pPr>
        <w:spacing w:after="100" w:before="200"/>
      </w:pPr>
      <w:r>
        <w:rPr>
          <w:rFonts w:ascii="Calibri" w:cs="Calibri" w:eastAsia="Calibri" w:hAnsi="Calibri"/>
          <w:b/>
          <w:bCs/>
          <w:sz w:val="24"/>
          <w:szCs w:val="24"/>
        </w:rPr>
        <w:t xml:space="preserve">5.1 Monitoring Rules</w:t>
      </w:r>
    </w:p>
    <w:p>
      <w:pPr>
        <w:pStyle w:val="ListParagraph"/>
        <w:numPr>
          <w:ilvl w:val="0"/>
          <w:numId w:val="2"/>
        </w:numPr>
        <w:spacing w:after="80" w:line="300"/>
      </w:pPr>
      <w:r>
        <w:rPr>
          <w:rFonts w:ascii="Calibri" w:cs="Calibri" w:eastAsia="Calibri" w:hAnsi="Calibri"/>
          <w:sz w:val="22"/>
          <w:szCs w:val="22"/>
        </w:rPr>
        <w:t xml:space="preserve">Velocity check: more than 5 wallet top-ups exceeding ₦100,000 each within 24 hours.</w:t>
      </w:r>
    </w:p>
    <w:p>
      <w:pPr>
        <w:pStyle w:val="ListParagraph"/>
        <w:numPr>
          <w:ilvl w:val="0"/>
          <w:numId w:val="2"/>
        </w:numPr>
        <w:spacing w:after="80" w:line="300"/>
      </w:pPr>
      <w:r>
        <w:rPr>
          <w:rFonts w:ascii="Calibri" w:cs="Calibri" w:eastAsia="Calibri" w:hAnsi="Calibri"/>
          <w:sz w:val="22"/>
          <w:szCs w:val="22"/>
        </w:rPr>
        <w:t xml:space="preserve">Structuring detection: multiple deposits/withdrawals just below the ₦5M reporting threshold.</w:t>
      </w:r>
    </w:p>
    <w:p>
      <w:pPr>
        <w:pStyle w:val="ListParagraph"/>
        <w:numPr>
          <w:ilvl w:val="0"/>
          <w:numId w:val="2"/>
        </w:numPr>
        <w:spacing w:after="80" w:line="300"/>
      </w:pPr>
      <w:r>
        <w:rPr>
          <w:rFonts w:ascii="Calibri" w:cs="Calibri" w:eastAsia="Calibri" w:hAnsi="Calibri"/>
          <w:sz w:val="22"/>
          <w:szCs w:val="22"/>
        </w:rPr>
        <w:t xml:space="preserve">Dormant-to-active spike: re-activation of dormant accounts followed by large outbound transfers.</w:t>
      </w:r>
    </w:p>
    <w:p>
      <w:pPr>
        <w:pStyle w:val="ListParagraph"/>
        <w:numPr>
          <w:ilvl w:val="0"/>
          <w:numId w:val="2"/>
        </w:numPr>
        <w:spacing w:after="80" w:line="300"/>
      </w:pPr>
      <w:r>
        <w:rPr>
          <w:rFonts w:ascii="Calibri" w:cs="Calibri" w:eastAsia="Calibri" w:hAnsi="Calibri"/>
          <w:sz w:val="22"/>
          <w:szCs w:val="22"/>
        </w:rPr>
        <w:t xml:space="preserve">Unusual goal-funding patterns: rapid contributor growth from unrelated geographies.</w:t>
      </w:r>
    </w:p>
    <w:p>
      <w:pPr>
        <w:pStyle w:val="ListParagraph"/>
        <w:numPr>
          <w:ilvl w:val="0"/>
          <w:numId w:val="2"/>
        </w:numPr>
        <w:spacing w:after="80" w:line="300"/>
      </w:pPr>
      <w:r>
        <w:rPr>
          <w:rFonts w:ascii="Calibri" w:cs="Calibri" w:eastAsia="Calibri" w:hAnsi="Calibri"/>
          <w:sz w:val="22"/>
          <w:szCs w:val="22"/>
        </w:rPr>
        <w:t xml:space="preserve">Repeated failed verification attempts on the same device fingerprint.</w:t>
      </w:r>
    </w:p>
    <w:p>
      <w:pPr>
        <w:pStyle w:val="Heading1"/>
        <w:spacing w:after="200" w:before="360"/>
      </w:pPr>
      <w:r>
        <w:rPr>
          <w:rFonts w:ascii="Calibri" w:cs="Calibri" w:eastAsia="Calibri" w:hAnsi="Calibri"/>
          <w:b/>
          <w:bCs/>
          <w:color w:val="0F5C3A"/>
          <w:sz w:val="36"/>
          <w:szCs w:val="36"/>
        </w:rPr>
        <w:t xml:space="preserve">6. Reporting Obligations</w:t>
      </w:r>
    </w:p>
    <w:p>
      <w:pPr>
        <w:spacing w:after="100" w:before="200"/>
      </w:pPr>
      <w:r>
        <w:rPr>
          <w:rFonts w:ascii="Calibri" w:cs="Calibri" w:eastAsia="Calibri" w:hAnsi="Calibri"/>
          <w:b/>
          <w:bCs/>
          <w:sz w:val="24"/>
          <w:szCs w:val="24"/>
        </w:rPr>
        <w:t xml:space="preserve">6.1 Currency Transaction Reports (CTR)</w:t>
      </w:r>
    </w:p>
    <w:p>
      <w:pPr>
        <w:spacing w:after="120" w:line="320"/>
        <w:jc w:val="both"/>
      </w:pPr>
      <w:r>
        <w:rPr>
          <w:rFonts w:ascii="Calibri" w:cs="Calibri" w:eastAsia="Calibri" w:hAnsi="Calibri"/>
          <w:sz w:val="22"/>
          <w:szCs w:val="22"/>
        </w:rPr>
        <w:t xml:space="preserve">All single transactions equal to or above ₦5,000,000 (individual) or ₦10,000,000 (corporate) shall be reported to the NFIU within seven (7) days, in line with Section 10 of the MLPPA 2022.</w:t>
      </w:r>
    </w:p>
    <w:p>
      <w:pPr>
        <w:spacing w:after="100" w:before="200"/>
      </w:pPr>
      <w:r>
        <w:rPr>
          <w:rFonts w:ascii="Calibri" w:cs="Calibri" w:eastAsia="Calibri" w:hAnsi="Calibri"/>
          <w:b/>
          <w:bCs/>
          <w:sz w:val="24"/>
          <w:szCs w:val="24"/>
        </w:rPr>
        <w:t xml:space="preserve">6.2 Suspicious Transaction Reports (STR)</w:t>
      </w:r>
    </w:p>
    <w:p>
      <w:pPr>
        <w:spacing w:after="120" w:line="320"/>
        <w:jc w:val="both"/>
      </w:pPr>
      <w:r>
        <w:rPr>
          <w:rFonts w:ascii="Calibri" w:cs="Calibri" w:eastAsia="Calibri" w:hAnsi="Calibri"/>
          <w:sz w:val="22"/>
          <w:szCs w:val="22"/>
        </w:rPr>
        <w:t xml:space="preserve">Any transaction — regardless of amount — suspected to involve proceeds of unlawful activity shall be reported to the NFIU within twenty-four (24) hours of detection. The reporting officer is the designated Money Laundering Reporting Officer (MLRO).</w:t>
      </w:r>
    </w:p>
    <w:p>
      <w:pPr>
        <w:spacing w:after="100" w:before="200"/>
      </w:pPr>
      <w:r>
        <w:rPr>
          <w:rFonts w:ascii="Calibri" w:cs="Calibri" w:eastAsia="Calibri" w:hAnsi="Calibri"/>
          <w:b/>
          <w:bCs/>
          <w:sz w:val="24"/>
          <w:szCs w:val="24"/>
        </w:rPr>
        <w:t xml:space="preserve">6.3 Terrorism Financing Reports</w:t>
      </w:r>
    </w:p>
    <w:p>
      <w:pPr>
        <w:spacing w:after="120" w:line="320"/>
        <w:jc w:val="both"/>
      </w:pPr>
      <w:r>
        <w:rPr>
          <w:rFonts w:ascii="Calibri" w:cs="Calibri" w:eastAsia="Calibri" w:hAnsi="Calibri"/>
          <w:sz w:val="22"/>
          <w:szCs w:val="22"/>
        </w:rPr>
        <w:t xml:space="preserve">Suspected financing of terrorism shall be reported immediately to the NFIU and Office of the National Security Adviser (ONSA), and the relevant funds shall be frozen pending investigation.</w:t>
      </w:r>
    </w:p>
    <w:p>
      <w:pPr>
        <w:pStyle w:val="Heading1"/>
        <w:spacing w:after="200" w:before="360"/>
      </w:pPr>
      <w:r>
        <w:rPr>
          <w:rFonts w:ascii="Calibri" w:cs="Calibri" w:eastAsia="Calibri" w:hAnsi="Calibri"/>
          <w:b/>
          <w:bCs/>
          <w:color w:val="0F5C3A"/>
          <w:sz w:val="36"/>
          <w:szCs w:val="36"/>
        </w:rPr>
        <w:t xml:space="preserve">7. Sanctions &amp; Watchlist Screening</w:t>
      </w:r>
    </w:p>
    <w:p>
      <w:pPr>
        <w:spacing w:after="120" w:line="320"/>
        <w:jc w:val="both"/>
      </w:pPr>
      <w:r>
        <w:rPr>
          <w:rFonts w:ascii="Calibri" w:cs="Calibri" w:eastAsia="Calibri" w:hAnsi="Calibri"/>
          <w:sz w:val="22"/>
          <w:szCs w:val="22"/>
        </w:rPr>
        <w:t xml:space="preserve">Wesave screens all customers and counterparties against the United Nations Consolidated Sanctions List, the Nigerian Sanctions List, the OFAC SDN List, and the EU Consolidated List at onboarding and periodically thereafter. Positive matches trigger automatic account suspension and escalation to the MLRO.</w:t>
      </w:r>
    </w:p>
    <w:p>
      <w:pPr>
        <w:pStyle w:val="Heading1"/>
        <w:spacing w:after="200" w:before="360"/>
      </w:pPr>
      <w:r>
        <w:rPr>
          <w:rFonts w:ascii="Calibri" w:cs="Calibri" w:eastAsia="Calibri" w:hAnsi="Calibri"/>
          <w:b/>
          <w:bCs/>
          <w:color w:val="0F5C3A"/>
          <w:sz w:val="36"/>
          <w:szCs w:val="36"/>
        </w:rPr>
        <w:t xml:space="preserve">8. Record Keeping</w:t>
      </w:r>
    </w:p>
    <w:p>
      <w:pPr>
        <w:spacing w:after="120" w:line="320"/>
        <w:jc w:val="both"/>
      </w:pPr>
      <w:r>
        <w:rPr>
          <w:rFonts w:ascii="Calibri" w:cs="Calibri" w:eastAsia="Calibri" w:hAnsi="Calibri"/>
          <w:sz w:val="22"/>
          <w:szCs w:val="22"/>
        </w:rPr>
        <w:t xml:space="preserve">All KYC documents, transaction records, customer correspondence, and internal investigations shall be retained for a minimum of five (5) years from the date of the transaction or termination of the customer relationship, whichever is later. Records shall be made available to regulators upon lawful request.</w:t>
      </w:r>
    </w:p>
    <w:p>
      <w:pPr>
        <w:pStyle w:val="Heading1"/>
        <w:spacing w:after="200" w:before="360"/>
      </w:pPr>
      <w:r>
        <w:rPr>
          <w:rFonts w:ascii="Calibri" w:cs="Calibri" w:eastAsia="Calibri" w:hAnsi="Calibri"/>
          <w:b/>
          <w:bCs/>
          <w:color w:val="0F5C3A"/>
          <w:sz w:val="36"/>
          <w:szCs w:val="36"/>
        </w:rPr>
        <w:t xml:space="preserve">9. Training &amp; Awareness</w:t>
      </w:r>
    </w:p>
    <w:p>
      <w:pPr>
        <w:spacing w:after="120" w:line="320"/>
        <w:jc w:val="both"/>
      </w:pPr>
      <w:r>
        <w:rPr>
          <w:rFonts w:ascii="Calibri" w:cs="Calibri" w:eastAsia="Calibri" w:hAnsi="Calibri"/>
          <w:sz w:val="22"/>
          <w:szCs w:val="22"/>
        </w:rPr>
        <w:t xml:space="preserve">All Wesave employees shall undertake mandatory AML/CFT training upon onboarding and annually thereafter. Specialized training shall be provided to staff in compliance, risk, customer support, and engineering functions. Training records shall be retained for audit purposes.</w:t>
      </w:r>
    </w:p>
    <w:p>
      <w:pPr>
        <w:pStyle w:val="Heading1"/>
        <w:spacing w:after="200" w:before="360"/>
      </w:pPr>
      <w:r>
        <w:rPr>
          <w:rFonts w:ascii="Calibri" w:cs="Calibri" w:eastAsia="Calibri" w:hAnsi="Calibri"/>
          <w:b/>
          <w:bCs/>
          <w:color w:val="0F5C3A"/>
          <w:sz w:val="36"/>
          <w:szCs w:val="36"/>
        </w:rPr>
        <w:t xml:space="preserve">10. Governance &amp; Independent Audit</w:t>
      </w:r>
    </w:p>
    <w:p>
      <w:pPr>
        <w:pStyle w:val="ListParagraph"/>
        <w:numPr>
          <w:ilvl w:val="0"/>
          <w:numId w:val="2"/>
        </w:numPr>
        <w:spacing w:after="80" w:line="300"/>
      </w:pPr>
      <w:r>
        <w:rPr>
          <w:rFonts w:ascii="Calibri" w:cs="Calibri" w:eastAsia="Calibri" w:hAnsi="Calibri"/>
          <w:sz w:val="22"/>
          <w:szCs w:val="22"/>
        </w:rPr>
        <w:t xml:space="preserve">The Money Laundering Reporting Officer (MLRO) reports directly to the Chief Compliance Officer and the Board Risk Committee.</w:t>
      </w:r>
    </w:p>
    <w:p>
      <w:pPr>
        <w:pStyle w:val="ListParagraph"/>
        <w:numPr>
          <w:ilvl w:val="0"/>
          <w:numId w:val="2"/>
        </w:numPr>
        <w:spacing w:after="80" w:line="300"/>
      </w:pPr>
      <w:r>
        <w:rPr>
          <w:rFonts w:ascii="Calibri" w:cs="Calibri" w:eastAsia="Calibri" w:hAnsi="Calibri"/>
          <w:sz w:val="22"/>
          <w:szCs w:val="22"/>
        </w:rPr>
        <w:t xml:space="preserve">An independent AML audit shall be conducted annually by an external firm and the report submitted to the Board.</w:t>
      </w:r>
    </w:p>
    <w:p>
      <w:pPr>
        <w:pStyle w:val="ListParagraph"/>
        <w:numPr>
          <w:ilvl w:val="0"/>
          <w:numId w:val="2"/>
        </w:numPr>
        <w:spacing w:after="80" w:line="300"/>
      </w:pPr>
      <w:r>
        <w:rPr>
          <w:rFonts w:ascii="Calibri" w:cs="Calibri" w:eastAsia="Calibri" w:hAnsi="Calibri"/>
          <w:sz w:val="22"/>
          <w:szCs w:val="22"/>
        </w:rPr>
        <w:t xml:space="preserve">Findings and remediation actions shall be tracked through the platform’s internal compliance register.</w:t>
      </w:r>
    </w:p>
    <w:p>
      <w:pPr>
        <w:pStyle w:val="Heading1"/>
        <w:spacing w:after="200" w:before="360"/>
      </w:pPr>
      <w:r>
        <w:rPr>
          <w:rFonts w:ascii="Calibri" w:cs="Calibri" w:eastAsia="Calibri" w:hAnsi="Calibri"/>
          <w:b/>
          <w:bCs/>
          <w:color w:val="0F5C3A"/>
          <w:sz w:val="36"/>
          <w:szCs w:val="36"/>
        </w:rPr>
        <w:t xml:space="preserve">11. Whistleblowing</w:t>
      </w:r>
    </w:p>
    <w:p>
      <w:pPr>
        <w:spacing w:after="120" w:line="320"/>
        <w:jc w:val="both"/>
      </w:pPr>
      <w:r>
        <w:rPr>
          <w:rFonts w:ascii="Calibri" w:cs="Calibri" w:eastAsia="Calibri" w:hAnsi="Calibri"/>
          <w:sz w:val="22"/>
          <w:szCs w:val="22"/>
        </w:rPr>
        <w:t xml:space="preserve">Any employee, partner, or customer who reasonably suspects an AML/CFT breach may report it confidentially to compliance@wesave.ng. Wesave guarantees protection from retaliation in line with the Whistleblower Protection Policy.</w:t>
      </w:r>
    </w:p>
    <w:p>
      <w:pPr>
        <w:pStyle w:val="Heading1"/>
        <w:spacing w:after="200" w:before="360"/>
      </w:pPr>
      <w:r>
        <w:rPr>
          <w:rFonts w:ascii="Calibri" w:cs="Calibri" w:eastAsia="Calibri" w:hAnsi="Calibri"/>
          <w:b/>
          <w:bCs/>
          <w:color w:val="0F5C3A"/>
          <w:sz w:val="36"/>
          <w:szCs w:val="36"/>
        </w:rPr>
        <w:t xml:space="preserve">12. Policy Review</w:t>
      </w:r>
    </w:p>
    <w:p>
      <w:pPr>
        <w:spacing w:after="120" w:line="320"/>
        <w:jc w:val="both"/>
      </w:pPr>
      <w:r>
        <w:rPr>
          <w:rFonts w:ascii="Calibri" w:cs="Calibri" w:eastAsia="Calibri" w:hAnsi="Calibri"/>
          <w:sz w:val="22"/>
          <w:szCs w:val="22"/>
        </w:rPr>
        <w:t xml:space="preserve">This policy shall be reviewed annually or sooner where regulatory or operational changes warrant. All amendments require approval by the Board of Directors of LLH Premium Enterprise.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8"/>
        <w:szCs w:val="18"/>
      </w:rPr>
      <w:t xml:space="preserve">Anti-Money Laundering &amp; CFT Policy  •  v1.0</w:t>
    </w:r>
    <w:r>
      <w:rPr>
        <w:rFonts w:ascii="Calibri" w:cs="Calibri" w:eastAsia="Calibri" w:hAnsi="Calibri"/>
        <w:color w:val="555555"/>
        <w:sz w:val="18"/>
        <w:szCs w:val="18"/>
      </w:rPr>
      <w:t xml:space="preserve">	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of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55555"/>
        <w:sz w:val="18"/>
        <w:szCs w:val="18"/>
      </w:rPr>
      <w:t xml:space="preserve">WeSave  |  LLH Premium Enterprise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Anti-Money Laundering &amp; CFT Policy</dc:title>
  <dc:creator>LLH Premium Enterprise</dc:creator>
  <dc:description>Wesave Platform — Operated by LLH Premium Enterprise</dc:description>
  <cp:lastModifiedBy>Un-named</cp:lastModifiedBy>
  <cp:revision>1</cp:revision>
  <dcterms:created xsi:type="dcterms:W3CDTF">2026-04-23T09:40:46.006Z</dcterms:created>
  <dcterms:modified xsi:type="dcterms:W3CDTF">2026-04-23T09:40:46.007Z</dcterms:modified>
</cp:coreProperties>
</file>

<file path=docProps/custom.xml><?xml version="1.0" encoding="utf-8"?>
<Properties xmlns="http://schemas.openxmlformats.org/officeDocument/2006/custom-properties" xmlns:vt="http://schemas.openxmlformats.org/officeDocument/2006/docPropsVTypes"/>
</file>