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57"/>
          <w:sz w:val="44"/>
          <w:szCs w:val="44"/>
        </w:rPr>
        <w:t xml:space="preserve">VESTARA</w:t>
      </w:r>
    </w:p>
    <w:p>
      <w:pPr>
        <w:spacing w:after="80"/>
        <w:jc w:val="center"/>
      </w:pPr>
      <w:r>
        <w:rPr>
          <w:b/>
          <w:bCs/>
          <w:color w:val="2E5C7E"/>
          <w:sz w:val="28"/>
          <w:szCs w:val="28"/>
        </w:rPr>
        <w:t xml:space="preserve">Anti-Money Laundering &amp; Counter-Financing of Terrorism Policy</w:t>
      </w:r>
    </w:p>
    <w:p>
      <w:pPr>
        <w:spacing w:after="320"/>
        <w:jc w:val="center"/>
      </w:pPr>
      <w:r>
        <w:rPr>
          <w:i/>
          <w:iCs/>
          <w:color w:val="6B7280"/>
          <w:sz w:val="20"/>
          <w:szCs w:val="20"/>
        </w:rPr>
        <w:t xml:space="preserve">Version 1.1 • Effective April 2026 • vestara.ng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1. Purpose &amp; Regulatory Framework</w:t>
      </w:r>
    </w:p>
    <w:p>
      <w:pPr>
        <w:spacing w:after="120"/>
      </w:pPr>
      <w:r>
        <w:t xml:space="preserve">Vestara is a digital savings, thrift, and collaborative-finance platform owned and operated by LLH Premium Enterprise. Vestara's banking, KYC, account-creation, transfer, virtual-card, bills-payment, and settlement rails are powered exclusively by VFD Microfinance Bank Plc ("VFD") through the VFD Banking-as-a-Service (BaaS) APIs. Vestara does not currently rely on any other payment service provider (PSP) inside the regulated sandbox.</w:t>
      </w:r>
    </w:p>
    <w:p>
      <w:pPr>
        <w:spacing w:after="120"/>
      </w:pPr>
      <w:r>
        <w:t xml:space="preserve">This Anti-Money Laundering / Counter-Financing of Terrorism (AML/CFT) Policy aligns Vestara's controls with the Money Laundering (Prevention and Prohibition) Act 2022 (MLPPA), the CBN AML/CFT/CPF Regulations 2022, NFIU Guidelines, the Nigeria Data Protection Act 2023 (NDPA), and the SCUML registration framework. It also reflects VFD's institutional AML obligations as the underlying licensed bank.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Vestara web (vestara.ng) and mobile wrapper users (Android/iOS APK builds) onboarded into the sandbox or production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Vestara staff, contractors, compliance reviewers, and platform administrators.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transactions routed through VFD APIs: virtual account funding, intra-bank (VFD↔VFD) and inter-bank NIP transfers, bills payments, virtual debit card issuance, and BVN/NIN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Vestara internal logic layers: wallet ledger, lock-savings, target-Ajo, association wallets, crowdfunding escrow, and SplitPay merchant settlement.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3. Risk-Based Approach</w:t>
      </w:r>
    </w:p>
    <w:p>
      <w:pPr>
        <w:spacing w:after="120"/>
      </w:pPr>
      <w:r>
        <w:t xml:space="preserve">Vestara classifies customers, products, and channels into Low, Medium, and High risk tiers. Risk classification drives the depth of due diligence applied. PEPs, customers in FATF high-risk jurisdictions, and association admins managing more than 20 members are automatically flagged High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B3A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 Tier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B3A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B3A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CDD Depth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B3A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Monitoring</w:t>
            </w:r>
          </w:p>
        </w:tc>
      </w:tr>
      <w:tr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Tier-1 wallet user, &lt; ₦50k daily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Phone + email + device fingerprint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Standard rules</w:t>
            </w:r>
          </w:p>
        </w:tc>
      </w:tr>
      <w:tr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Tier-2, BVN-verified, &lt; ₦200k daily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BVN match + ID + selfie liveness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Velocity + structuring alerts</w:t>
            </w:r>
          </w:p>
        </w:tc>
      </w:tr>
      <w:tr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PEP, &gt; ₦5M, association admin, sanctions hit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EDD + source of funds + senior sign-off</w:t>
            </w:r>
          </w:p>
        </w:tc>
        <w:tc>
          <w:tcPr>
            <w:tcW w:type="dxa" w:w="23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Real-time + manual review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3A57"/>
        </w:rPr>
        <w:t xml:space="preserve">4. Customer Due Diligence (CDD) on the VFD Stack</w:t>
      </w:r>
    </w:p>
    <w:p>
      <w:pPr>
        <w:spacing w:after="120"/>
      </w:pPr>
      <w:r>
        <w:t xml:space="preserve">All identity verification calls are made directly against VFD's BaaS endpoints — Vestara never persists raw BVN responses outside the encrypted profile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1 — verified Nigerian phone + email. Daily limit ₦50,000 / cumulative ₦300,000.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2 — VFD BVN consent + government-issued ID + selfie. Daily limit ₦200,000 / cumulative ₦500,000.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3 (EDD) — proof of address, declared source of funds, NIN cross-check via VFD, and Vestara senior management approval.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Bank-account verification uses VFD name-enquiry; a withdrawal account name must match the BVN-registered name before first payout.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5. Transaction Monitoring</w:t>
      </w:r>
    </w:p>
    <w:p>
      <w:pPr>
        <w:spacing w:after="120"/>
      </w:pPr>
      <w:r>
        <w:t xml:space="preserve">Vestara's monitoring engine evaluates every VFD-routed transaction in real time. Alerts are generated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Velocity spikes — more than 5 funding events in 10 minutes, or &gt; ₦1M aggregated within 1 hour.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Structuring — repeated transfers just below the ₦5M CTR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Dormant-to-active patterns — wallets idle ≥ 90 days that suddenly transact above their tier ceiling.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Goal-funding clusters — many small contributions to a single crowdfunding escrow within minutes of each other.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Repeated failed BVN/ID verifications from the same device fingerprint.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Inter-bank transfers (VFD bank-code ≠ 999999) above ₦500,000 are flagged for secondary review.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6. Reporting Obligations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Transaction Reports (CTRs): individual transactions ≥ ₦5M or corporate ≥ ₦10M are filed to NFIU within 7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Suspicious Transaction Reports (STRs): filed to NFIU within 24 hours of detection.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Terrorism financing: account is frozen immediately and reported to NFIU and the Office of the National Security Adviser (ONSA).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Quarterly compliance attestation is shared with VFD's compliance desk in line with our partner-bank obligations.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7. Sanctions Screening</w:t>
      </w:r>
    </w:p>
    <w:p>
      <w:pPr>
        <w:spacing w:after="120"/>
      </w:pPr>
      <w:r>
        <w:t xml:space="preserve">Every onboarding event triggers screening against UN, Nigerian Sanctions List, OFAC SDN, and EU consolidated lists. Re-screening runs nightly. Positive matches automatically suspend the wallet and escalate to the Money Laundering Reporting Officer (MLRO).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8. Record Keeping</w:t>
      </w:r>
    </w:p>
    <w:p>
      <w:pPr>
        <w:spacing w:after="120"/>
      </w:pPr>
      <w:r>
        <w:t xml:space="preserve">KYC records, VFD API request/response audit trails, ledger entries, and investigation files are retained for at least 5 years from the date of the transaction or from the termination of the customer relationship — whichever is later — per MLPPA s.18.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9. Governance, Training &amp; Independent 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Mandatory AML/CFT training for all Vestara staff at onboarding and annually.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MLRO reports directly to the Chief Compliance Officer and the Board Risk Committee of LLH Premium Enterprise.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AML audit is performed annually; findings are remediated within 60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VFD's institutional AML controls form a second line of defence; Vestara reconciles its internal ledger against VFD statements daily.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10. Whistleblowing</w:t>
      </w:r>
    </w:p>
    <w:p>
      <w:pPr>
        <w:spacing w:after="120"/>
      </w:pPr>
      <w:r>
        <w:t xml:space="preserve">Suspected breaches may be reported confidentially to compliance@vestara.ng. Vestara guarantees protection from retaliation under MLPPA s.16.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11. Mobile App Wrapper Considerations</w:t>
      </w:r>
    </w:p>
    <w:p>
      <w:pPr>
        <w:spacing w:after="120"/>
      </w:pPr>
      <w:r>
        <w:t xml:space="preserve">The Vestara Android/iOS wrapper enforces certificate pinning to api.vestara.ng, refuses to run on rooted/jailbroken devices, and disables screenshots on KYC and transfer screens. All VFD API traffic remains TLS 1.3 end-to-end and is never proxied through third-party SDKs.</w:t>
      </w:r>
    </w:p>
    <w:p>
      <w:pPr>
        <w:pStyle w:val="Heading1"/>
        <w:spacing w:after="160" w:before="320"/>
      </w:pPr>
      <w:r>
        <w:rPr>
          <w:b/>
          <w:bCs/>
          <w:color w:val="1B3A57"/>
        </w:rPr>
        <w:t xml:space="preserve">12. Contact</w:t>
      </w:r>
    </w:p>
    <w:p>
      <w:pPr>
        <w:spacing w:after="120"/>
      </w:pPr>
      <w:r>
        <w:t xml:space="preserve">Compliance Officer: compliance@vestara.ng</w:t>
      </w:r>
    </w:p>
    <w:p>
      <w:pPr>
        <w:spacing w:after="120"/>
      </w:pPr>
      <w:r>
        <w:t xml:space="preserve">MLRO: mlro@vestara.ng</w:t>
      </w:r>
    </w:p>
    <w:p>
      <w:pPr>
        <w:spacing w:after="120"/>
      </w:pPr>
      <w:r>
        <w:t xml:space="preserve">Operator: LLH Premium Enterprise • Lagos, Nigeria</w:t>
      </w:r>
    </w:p>
    <w:p>
      <w:pPr>
        <w:spacing w:after="120"/>
      </w:pPr>
      <w:r>
        <w:t xml:space="preserve">Web: https://vestara.ng • Phone: 09039479554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Vestara — AML/CFT Policy v1.1 • vestara.ng •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B3A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5C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Vestara AML/CFT Policy</dc:title>
  <dc:creator>Vestara</dc:creator>
  <cp:lastModifiedBy>Un-named</cp:lastModifiedBy>
  <cp:revision>1</cp:revision>
  <dcterms:created xsi:type="dcterms:W3CDTF">2026-04-23T10:27:25.393Z</dcterms:created>
  <dcterms:modified xsi:type="dcterms:W3CDTF">2026-04-23T10:27:25.393Z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