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3A57"/>
          <w:sz w:val="44"/>
          <w:szCs w:val="44"/>
        </w:rPr>
        <w:t xml:space="preserve">VESTARA</w:t>
      </w:r>
    </w:p>
    <w:p>
      <w:pPr>
        <w:spacing w:after="80"/>
        <w:jc w:val="center"/>
      </w:pPr>
      <w:r>
        <w:rPr>
          <w:b/>
          <w:bCs/>
          <w:color w:val="2E5C7E"/>
          <w:sz w:val="28"/>
          <w:szCs w:val="28"/>
        </w:rPr>
        <w:t xml:space="preserve">KYC Onboarding Policy</w:t>
      </w:r>
    </w:p>
    <w:p>
      <w:pPr>
        <w:spacing w:after="320"/>
        <w:jc w:val="center"/>
      </w:pPr>
      <w:r>
        <w:rPr>
          <w:i/>
          <w:iCs/>
          <w:color w:val="6B7280"/>
          <w:sz w:val="20"/>
          <w:szCs w:val="20"/>
        </w:rPr>
        <w:t xml:space="preserve">Version 1.1 • Effective April 2026 • vestara.ng</w:t>
      </w:r>
    </w:p>
    <w:p>
      <w:pPr>
        <w:pStyle w:val="Heading1"/>
        <w:spacing w:after="160" w:before="320"/>
      </w:pPr>
      <w:r>
        <w:rPr>
          <w:b/>
          <w:bCs/>
          <w:color w:val="1B3A57"/>
        </w:rPr>
        <w:t xml:space="preserve">1. Purpose</w:t>
      </w:r>
    </w:p>
    <w:p>
      <w:pPr>
        <w:spacing w:after="120"/>
      </w:pPr>
      <w:r>
        <w:t xml:space="preserve">This policy describes how Vestara — operated by LLH Premium Enterprise — onboards customers, verifies their identity, and applies risk-based due diligence. Vestara's identity, account-opening, and bank-verification rails are powered exclusively by VFD Microfinance Bank Plc through the VFD Banking-as-a-Service (BaaS) APIs. The policy aligns with the CBN three-tier KYC framework, MLPPA 2022, and NDPA 2023.</w:t>
      </w:r>
    </w:p>
    <w:p>
      <w:pPr>
        <w:pStyle w:val="Heading1"/>
        <w:spacing w:after="160" w:before="320"/>
      </w:pPr>
      <w:r>
        <w:rPr>
          <w:b/>
          <w:bCs/>
          <w:color w:val="1B3A57"/>
        </w:rPr>
        <w:t xml:space="preserve">2. Principles</w:t>
      </w:r>
    </w:p>
    <w:p>
      <w:pPr>
        <w:pStyle w:val="ListParagraph"/>
        <w:numPr>
          <w:ilvl w:val="0"/>
          <w:numId w:val="2"/>
        </w:numPr>
        <w:spacing w:after="80"/>
      </w:pPr>
      <w:r>
        <w:t xml:space="preserve">Identify the customer using government-issued and VFD-validated credentials before any wallet activation.</w:t>
      </w:r>
    </w:p>
    <w:p>
      <w:pPr>
        <w:pStyle w:val="ListParagraph"/>
        <w:numPr>
          <w:ilvl w:val="0"/>
          <w:numId w:val="2"/>
        </w:numPr>
        <w:spacing w:after="80"/>
      </w:pPr>
      <w:r>
        <w:t xml:space="preserve">Apply due diligence proportionate to the customer's risk tier.</w:t>
      </w:r>
    </w:p>
    <w:p>
      <w:pPr>
        <w:pStyle w:val="ListParagraph"/>
        <w:numPr>
          <w:ilvl w:val="0"/>
          <w:numId w:val="2"/>
        </w:numPr>
        <w:spacing w:after="80"/>
      </w:pPr>
      <w:r>
        <w:t xml:space="preserve">Maintain continuous KYC across the customer lifecycle, not only at onboarding.</w:t>
      </w:r>
    </w:p>
    <w:p>
      <w:pPr>
        <w:pStyle w:val="ListParagraph"/>
        <w:numPr>
          <w:ilvl w:val="0"/>
          <w:numId w:val="2"/>
        </w:numPr>
        <w:spacing w:after="80"/>
      </w:pPr>
      <w:r>
        <w:t xml:space="preserve">Encrypt sensitive identifiers (BVN, NIN, account numbers, phone) at rest with AES-256 and in transit with TLS 1.3.</w:t>
      </w:r>
    </w:p>
    <w:p>
      <w:pPr>
        <w:pStyle w:val="ListParagraph"/>
        <w:numPr>
          <w:ilvl w:val="0"/>
          <w:numId w:val="2"/>
        </w:numPr>
        <w:spacing w:after="80"/>
      </w:pPr>
      <w:r>
        <w:t xml:space="preserve">Honour the data-subject rights granted by NDPA 2023, including access, rectification, and erasure.</w:t>
      </w:r>
    </w:p>
    <w:p>
      <w:pPr>
        <w:pStyle w:val="Heading1"/>
        <w:spacing w:after="160" w:before="320"/>
      </w:pPr>
      <w:r>
        <w:rPr>
          <w:b/>
          <w:bCs/>
          <w:color w:val="1B3A57"/>
        </w:rPr>
        <w:t xml:space="preserve">3. Onboarding Workflow (VFD-Powered)</w:t>
      </w:r>
    </w:p>
    <w:p>
      <w:pPr>
        <w:pStyle w:val="ListParagraph"/>
        <w:numPr>
          <w:ilvl w:val="0"/>
          <w:numId w:val="2"/>
        </w:numPr>
        <w:spacing w:after="80"/>
      </w:pPr>
      <w:r>
        <w:t xml:space="preserve">Step 1 — Email + Nigerian mobile number verification (OTP delivered via Vestara mailer + SMS gateway).</w:t>
      </w:r>
    </w:p>
    <w:p>
      <w:pPr>
        <w:pStyle w:val="ListParagraph"/>
        <w:numPr>
          <w:ilvl w:val="0"/>
          <w:numId w:val="2"/>
        </w:numPr>
        <w:spacing w:after="80"/>
      </w:pPr>
      <w:r>
        <w:t xml:space="preserve">Step 2 — VFD BVN consent: 11-digit BVN is sent to VFD's Name Enquiry endpoint; first name, surname, and date of birth must match Vestara registration data.</w:t>
      </w:r>
    </w:p>
    <w:p>
      <w:pPr>
        <w:pStyle w:val="ListParagraph"/>
        <w:numPr>
          <w:ilvl w:val="0"/>
          <w:numId w:val="2"/>
        </w:numPr>
        <w:spacing w:after="80"/>
      </w:pPr>
      <w:r>
        <w:t xml:space="preserve">Step 3 — VFD NIN verification (Tier-2+) via VFD's NIMC bridge.</w:t>
      </w:r>
    </w:p>
    <w:p>
      <w:pPr>
        <w:pStyle w:val="ListParagraph"/>
        <w:numPr>
          <w:ilvl w:val="0"/>
          <w:numId w:val="2"/>
        </w:numPr>
        <w:spacing w:after="80"/>
      </w:pPr>
      <w:r>
        <w:t xml:space="preserve">Step 4 — Selfie capture with liveness detection, compared against the VFD-returned BVN photo where available.</w:t>
      </w:r>
    </w:p>
    <w:p>
      <w:pPr>
        <w:pStyle w:val="ListParagraph"/>
        <w:numPr>
          <w:ilvl w:val="0"/>
          <w:numId w:val="2"/>
        </w:numPr>
        <w:spacing w:after="80"/>
      </w:pPr>
      <w:r>
        <w:t xml:space="preserve">Step 5 — VFD virtual account is provisioned (Vestara never holds raw card or PAN data).</w:t>
      </w:r>
    </w:p>
    <w:p>
      <w:pPr>
        <w:pStyle w:val="ListParagraph"/>
        <w:numPr>
          <w:ilvl w:val="0"/>
          <w:numId w:val="2"/>
        </w:numPr>
        <w:spacing w:after="80"/>
      </w:pPr>
      <w:r>
        <w:t xml:space="preserve">Step 6 — Withdrawal bank account verified through VFD's account-name-enquiry; the account name must equal the BVN-registered name before first payout.</w:t>
      </w:r>
    </w:p>
    <w:p>
      <w:pPr>
        <w:pStyle w:val="Heading1"/>
        <w:spacing w:after="160" w:before="320"/>
      </w:pPr>
      <w:r>
        <w:rPr>
          <w:b/>
          <w:bCs/>
          <w:color w:val="1B3A57"/>
        </w:rPr>
        <w:t xml:space="preserve">4. Tier Limits (CBN-Aligned)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rPr>
          <w:tblHeader/>
        </w:trPr>
        <w:tc>
          <w:tcPr>
            <w:tcW w:type="dxa" w:w="200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rPr>
              <w:t xml:space="preserve">Tier</w:t>
            </w:r>
          </w:p>
        </w:tc>
        <w:tc>
          <w:tcPr>
            <w:tcW w:type="dxa" w:w="368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rPr>
              <w:t xml:space="preserve">Requirements</w:t>
            </w:r>
          </w:p>
        </w:tc>
        <w:tc>
          <w:tcPr>
            <w:tcW w:type="dxa" w:w="184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rPr>
              <w:t xml:space="preserve">Daily Limit</w:t>
            </w:r>
          </w:p>
        </w:tc>
        <w:tc>
          <w:tcPr>
            <w:tcW w:type="dxa" w:w="1840"/>
            <w:tcBorders>
              <w:top w:val="single" w:color="B0B7C3" w:sz="4"/>
              <w:left w:val="single" w:color="B0B7C3" w:sz="4"/>
              <w:bottom w:val="single" w:color="B0B7C3" w:sz="4"/>
              <w:right w:val="single" w:color="B0B7C3" w:sz="4"/>
            </w:tcBorders>
            <w:shd w:fill="1B3A57" w:color="auto" w:val="clear"/>
            <w:tcMar>
              <w:top w:type="dxa" w:w="80"/>
              <w:left w:type="dxa" w:w="120"/>
              <w:bottom w:type="dxa" w:w="80"/>
              <w:right w:type="dxa" w:w="120"/>
            </w:tcMar>
          </w:tcPr>
          <w:p>
            <w:r>
              <w:rPr>
                <w:b/>
                <w:bCs/>
                <w:color w:val="FFFFFF"/>
              </w:rPr>
              <w:t xml:space="preserve">Cumulative</w:t>
            </w:r>
          </w:p>
        </w:tc>
      </w:tr>
      <w:tr>
        <w:tc>
          <w:tcPr>
            <w:tcW w:type="dxa" w:w="20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Tier 1</w:t>
            </w:r>
          </w:p>
        </w:tc>
        <w:tc>
          <w:tcPr>
            <w:tcW w:type="dxa" w:w="368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Phone + email</w:t>
            </w:r>
          </w:p>
        </w:tc>
        <w:tc>
          <w:tcPr>
            <w:tcW w:type="dxa" w:w="18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₦50,000</w:t>
            </w:r>
          </w:p>
        </w:tc>
        <w:tc>
          <w:tcPr>
            <w:tcW w:type="dxa" w:w="18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₦300,000</w:t>
            </w:r>
          </w:p>
        </w:tc>
      </w:tr>
      <w:tr>
        <w:tc>
          <w:tcPr>
            <w:tcW w:type="dxa" w:w="20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Tier 2</w:t>
            </w:r>
          </w:p>
        </w:tc>
        <w:tc>
          <w:tcPr>
            <w:tcW w:type="dxa" w:w="368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Phone + email + VFD BVN match + government ID</w:t>
            </w:r>
          </w:p>
        </w:tc>
        <w:tc>
          <w:tcPr>
            <w:tcW w:type="dxa" w:w="18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₦200,000</w:t>
            </w:r>
          </w:p>
        </w:tc>
        <w:tc>
          <w:tcPr>
            <w:tcW w:type="dxa" w:w="18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₦500,000</w:t>
            </w:r>
          </w:p>
        </w:tc>
      </w:tr>
      <w:tr>
        <w:tc>
          <w:tcPr>
            <w:tcW w:type="dxa" w:w="200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Tier 3</w:t>
            </w:r>
          </w:p>
        </w:tc>
        <w:tc>
          <w:tcPr>
            <w:tcW w:type="dxa" w:w="368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Tier-2 + proof of address + NIN + source-of-funds (EDD)</w:t>
            </w:r>
          </w:p>
        </w:tc>
        <w:tc>
          <w:tcPr>
            <w:tcW w:type="dxa" w:w="18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Negotiated</w:t>
            </w:r>
          </w:p>
        </w:tc>
        <w:tc>
          <w:tcPr>
            <w:tcW w:type="dxa" w:w="1840"/>
            <w:tcBorders>
              <w:top w:val="single" w:color="B0B7C3" w:sz="4"/>
              <w:left w:val="single" w:color="B0B7C3" w:sz="4"/>
              <w:bottom w:val="single" w:color="B0B7C3" w:sz="4"/>
              <w:right w:val="single" w:color="B0B7C3" w:sz="4"/>
            </w:tcBorders>
            <w:tcMar>
              <w:top w:type="dxa" w:w="80"/>
              <w:left w:type="dxa" w:w="120"/>
              <w:bottom w:type="dxa" w:w="80"/>
              <w:right w:type="dxa" w:w="120"/>
            </w:tcMar>
          </w:tcPr>
          <w:p>
            <w:r>
              <w:rPr>
                <w:b w:val="false"/>
                <w:bCs w:val="false"/>
                <w:color w:val="000000"/>
              </w:rPr>
              <w:t xml:space="preserve">Negotiated</w:t>
            </w:r>
          </w:p>
        </w:tc>
      </w:tr>
    </w:tbl>
    <w:p>
      <w:pPr>
        <w:pStyle w:val="Heading1"/>
        <w:spacing w:after="160" w:before="320"/>
      </w:pPr>
      <w:r>
        <w:rPr>
          <w:b/>
          <w:bCs/>
          <w:color w:val="1B3A57"/>
        </w:rPr>
        <w:t xml:space="preserve">5. Enhanced Due Diligence (EDD)</w:t>
      </w:r>
    </w:p>
    <w:p>
      <w:pPr>
        <w:spacing w:after="120"/>
      </w:pPr>
      <w:r>
        <w:t xml:space="preserve">EDD applies to: politically exposed persons (PEPs), residents/operators in FATF high-risk jurisdictions, single transactions above ₦5M, association admins of groups larger than 20 members, and any customer flagged by the Vestara monitoring engine. Senior management sign-off is mandatory before EDD customers can transact.</w:t>
      </w:r>
    </w:p>
    <w:p>
      <w:pPr>
        <w:pStyle w:val="Heading1"/>
        <w:spacing w:after="160" w:before="320"/>
      </w:pPr>
      <w:r>
        <w:rPr>
          <w:b/>
          <w:bCs/>
          <w:color w:val="1B3A57"/>
        </w:rPr>
        <w:t xml:space="preserve">6. Group, Association &amp; Crowdfunding KYC</w:t>
      </w:r>
    </w:p>
    <w:p>
      <w:pPr>
        <w:pStyle w:val="ListParagraph"/>
        <w:numPr>
          <w:ilvl w:val="0"/>
          <w:numId w:val="2"/>
        </w:numPr>
        <w:spacing w:after="80"/>
      </w:pPr>
      <w:r>
        <w:t xml:space="preserve">Association admins must complete Tier-3 EDD plus upload IDs of every executive.</w:t>
      </w:r>
    </w:p>
    <w:p>
      <w:pPr>
        <w:pStyle w:val="ListParagraph"/>
        <w:numPr>
          <w:ilvl w:val="0"/>
          <w:numId w:val="2"/>
        </w:numPr>
        <w:spacing w:after="80"/>
      </w:pPr>
      <w:r>
        <w:t xml:space="preserve">Associations must submit a member signature register, a formal request letter on association letterhead, and IDs of all signing executives. Documents are stored in a private Supabase bucket and reviewed by the Vestara admin panel before approval.</w:t>
      </w:r>
    </w:p>
    <w:p>
      <w:pPr>
        <w:pStyle w:val="ListParagraph"/>
        <w:numPr>
          <w:ilvl w:val="0"/>
          <w:numId w:val="2"/>
        </w:numPr>
        <w:spacing w:after="80"/>
      </w:pPr>
      <w:r>
        <w:t xml:space="preserve">Crowdfunding owners must verify the beneficiary bank account through VFD name-enquiry and attest to the purpose of funds. Funds remain in escrow until the owner triggers a withdrawal.</w:t>
      </w:r>
    </w:p>
    <w:p>
      <w:pPr>
        <w:pStyle w:val="Heading1"/>
        <w:spacing w:after="160" w:before="320"/>
      </w:pPr>
      <w:r>
        <w:rPr>
          <w:b/>
          <w:bCs/>
          <w:color w:val="1B3A57"/>
        </w:rPr>
        <w:t xml:space="preserve">7. Ongoing Maintenance</w:t>
      </w:r>
    </w:p>
    <w:p>
      <w:pPr>
        <w:spacing w:after="120"/>
      </w:pPr>
      <w:r>
        <w:t xml:space="preserve">KYC information is refreshed every 24 months for Tier 1, 18 months for Tier 2, and 12 months for Tier 3 / High-Risk customers — or immediately upon trigger events such as a tier upgrade, sanctions hit, or adverse media.</w:t>
      </w:r>
    </w:p>
    <w:p>
      <w:pPr>
        <w:pStyle w:val="Heading1"/>
        <w:spacing w:after="160" w:before="320"/>
      </w:pPr>
      <w:r>
        <w:rPr>
          <w:b/>
          <w:bCs/>
          <w:color w:val="1B3A57"/>
        </w:rPr>
        <w:t xml:space="preserve">8. Mobile App Wrapper KYC Controls</w:t>
      </w:r>
    </w:p>
    <w:p>
      <w:pPr>
        <w:pStyle w:val="ListParagraph"/>
        <w:numPr>
          <w:ilvl w:val="0"/>
          <w:numId w:val="2"/>
        </w:numPr>
        <w:spacing w:after="80"/>
      </w:pPr>
      <w:r>
        <w:t xml:space="preserve">BVN/NIN inputs are masked and never logged.</w:t>
      </w:r>
    </w:p>
    <w:p>
      <w:pPr>
        <w:pStyle w:val="ListParagraph"/>
        <w:numPr>
          <w:ilvl w:val="0"/>
          <w:numId w:val="2"/>
        </w:numPr>
        <w:spacing w:after="80"/>
      </w:pPr>
      <w:r>
        <w:t xml:space="preserve">Liveness selfies are captured locally and uploaded over a pinned TLS 1.3 channel to api.vestara.ng.</w:t>
      </w:r>
    </w:p>
    <w:p>
      <w:pPr>
        <w:pStyle w:val="ListParagraph"/>
        <w:numPr>
          <w:ilvl w:val="0"/>
          <w:numId w:val="2"/>
        </w:numPr>
        <w:spacing w:after="80"/>
      </w:pPr>
      <w:r>
        <w:t xml:space="preserve">Screenshots are blocked on KYC and bank-detail screens via FLAG_SECURE (Android) and screen-capture protection (iOS).</w:t>
      </w:r>
    </w:p>
    <w:p>
      <w:pPr>
        <w:pStyle w:val="ListParagraph"/>
        <w:numPr>
          <w:ilvl w:val="0"/>
          <w:numId w:val="2"/>
        </w:numPr>
        <w:spacing w:after="80"/>
      </w:pPr>
      <w:r>
        <w:t xml:space="preserve">Rooted / jailbroken devices are denied access to KYC tier upgrades.</w:t>
      </w:r>
    </w:p>
    <w:p>
      <w:pPr>
        <w:pStyle w:val="Heading1"/>
        <w:spacing w:after="160" w:before="320"/>
      </w:pPr>
      <w:r>
        <w:rPr>
          <w:b/>
          <w:bCs/>
          <w:color w:val="1B3A57"/>
        </w:rPr>
        <w:t xml:space="preserve">9. Customer Rights</w:t>
      </w:r>
    </w:p>
    <w:p>
      <w:pPr>
        <w:pStyle w:val="ListParagraph"/>
        <w:numPr>
          <w:ilvl w:val="0"/>
          <w:numId w:val="2"/>
        </w:numPr>
        <w:spacing w:after="80"/>
      </w:pPr>
      <w:r>
        <w:t xml:space="preserve">Right of access, rectification, erasure, and portability of personal data.</w:t>
      </w:r>
    </w:p>
    <w:p>
      <w:pPr>
        <w:pStyle w:val="ListParagraph"/>
        <w:numPr>
          <w:ilvl w:val="0"/>
          <w:numId w:val="2"/>
        </w:numPr>
        <w:spacing w:after="80"/>
      </w:pPr>
      <w:r>
        <w:t xml:space="preserve">Right to lodge a complaint with the Nigeria Data Protection Commission (NDPC).</w:t>
      </w:r>
    </w:p>
    <w:p>
      <w:pPr>
        <w:pStyle w:val="ListParagraph"/>
        <w:numPr>
          <w:ilvl w:val="0"/>
          <w:numId w:val="2"/>
        </w:numPr>
        <w:spacing w:after="80"/>
      </w:pPr>
      <w:r>
        <w:t xml:space="preserve">Right to be notified before account termination, except where prohibited by law.</w:t>
      </w:r>
    </w:p>
    <w:p>
      <w:pPr>
        <w:pStyle w:val="Heading1"/>
        <w:spacing w:after="160" w:before="320"/>
      </w:pPr>
      <w:r>
        <w:rPr>
          <w:b/>
          <w:bCs/>
          <w:color w:val="1B3A57"/>
        </w:rPr>
        <w:t xml:space="preserve">10. Refusal &amp; Termination</w:t>
      </w:r>
    </w:p>
    <w:p>
      <w:pPr>
        <w:spacing w:after="120"/>
      </w:pPr>
      <w:r>
        <w:t xml:space="preserve">Vestara may decline onboarding or terminate an existing relationship where KYC requirements cannot be satisfied, where false information is detected, or where VFD instructs us to do so as the underlying licensed bank.</w:t>
      </w:r>
    </w:p>
    <w:p>
      <w:pPr>
        <w:pStyle w:val="Heading1"/>
        <w:spacing w:after="160" w:before="320"/>
      </w:pPr>
      <w:r>
        <w:rPr>
          <w:b/>
          <w:bCs/>
          <w:color w:val="1B3A57"/>
        </w:rPr>
        <w:t xml:space="preserve">11. Contact</w:t>
      </w:r>
    </w:p>
    <w:p>
      <w:pPr>
        <w:spacing w:after="120"/>
      </w:pPr>
      <w:r>
        <w:t xml:space="preserve">KYC Desk: kyc@vestara.ng</w:t>
      </w:r>
    </w:p>
    <w:p>
      <w:pPr>
        <w:spacing w:after="120"/>
      </w:pPr>
      <w:r>
        <w:t xml:space="preserve">Data Protection Officer: dpo@vestara.ng</w:t>
      </w:r>
    </w:p>
    <w:p>
      <w:pPr>
        <w:spacing w:after="120"/>
      </w:pPr>
      <w:r>
        <w:t xml:space="preserve">Operator: LLH Premium Enterprise • Lagos, Nigeria</w:t>
      </w:r>
    </w:p>
    <w:p>
      <w:pPr>
        <w:spacing w:after="120"/>
      </w:pPr>
      <w:r>
        <w:t xml:space="preserve">Web: https://vestara.ng • Phone: 09039479554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Vestara — KYC Onboarding Policy v1.1 • vestara.ng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B3A5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Vestara KYC Onboarding Policy</dc:title>
  <dc:creator>Vestara</dc:creator>
  <cp:lastModifiedBy>Un-named</cp:lastModifiedBy>
  <cp:revision>1</cp:revision>
  <dcterms:created xsi:type="dcterms:W3CDTF">2026-04-23T10:27:25.924Z</dcterms:created>
  <dcterms:modified xsi:type="dcterms:W3CDTF">2026-04-23T10:27:25.924Z</dcterms:modified>
</cp:coreProperties>
</file>

<file path=docProps/custom.xml><?xml version="1.0" encoding="utf-8"?>
<Properties xmlns="http://schemas.openxmlformats.org/officeDocument/2006/custom-properties" xmlns:vt="http://schemas.openxmlformats.org/officeDocument/2006/docPropsVTypes"/>
</file>