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57"/>
          <w:sz w:val="44"/>
          <w:szCs w:val="44"/>
        </w:rPr>
        <w:t xml:space="preserve">VESTARA</w:t>
      </w:r>
    </w:p>
    <w:p>
      <w:pPr>
        <w:spacing w:after="80"/>
        <w:jc w:val="center"/>
      </w:pPr>
      <w:r>
        <w:rPr>
          <w:b/>
          <w:bCs/>
          <w:color w:val="2E5C7E"/>
          <w:sz w:val="28"/>
          <w:szCs w:val="28"/>
        </w:rPr>
        <w:t xml:space="preserve">Vulnerability Assessment &amp; Penetration Testing Report</w:t>
      </w:r>
    </w:p>
    <w:p>
      <w:pPr>
        <w:spacing w:after="80"/>
        <w:jc w:val="center"/>
      </w:pPr>
      <w:r>
        <w:rPr>
          <w:i/>
          <w:iCs/>
          <w:color w:val="374151"/>
          <w:sz w:val="22"/>
          <w:szCs w:val="22"/>
        </w:rPr>
        <w:t xml:space="preserve">Scope: VFD Sandbox (api.vestara.ng + Edge Functions + Postgres/RLS)</w:t>
      </w:r>
    </w:p>
    <w:p>
      <w:pPr>
        <w:spacing w:after="320"/>
        <w:jc w:val="center"/>
      </w:pPr>
      <w:r>
        <w:rPr>
          <w:i/>
          <w:iCs/>
          <w:color w:val="6B7280"/>
          <w:sz w:val="20"/>
          <w:szCs w:val="20"/>
        </w:rPr>
        <w:t xml:space="preserve">Version 1.1 • Test date: 23 April 2026 • Classification: CONFIDENTIAL</w:t>
      </w:r>
    </w:p>
    <w:p>
      <w:pPr>
        <w:pStyle w:val="Heading1"/>
        <w:spacing w:after="160" w:before="320"/>
      </w:pPr>
      <w:r>
        <w:rPr>
          <w:b/>
          <w:bCs/>
          <w:color w:val="1B3A57"/>
        </w:rPr>
        <w:t xml:space="preserve">1. Executive Summary</w:t>
      </w:r>
    </w:p>
    <w:p>
      <w:pPr>
        <w:spacing w:after="120"/>
      </w:pPr>
      <w:r>
        <w:t xml:space="preserve">This Vulnerability Assessment &amp; Penetration Test (VAPT) was performed against the Vestara digital-savings platform sandbox on 23 April 2026. Vestara is operated by LLH Premium Enterprise on the vestara.ng domain (with Android/iOS mobile wrappers in preparation) and uses VFD Microfinance Bank Plc exclusively as its banking, KYC, transfer, virtual-card, and bills-payment provider via the VFD Banking-as-a-Service (BaaS) APIs. No other PSP is wired into the sandbox.</w:t>
      </w:r>
    </w:p>
    <w:p>
      <w:pPr>
        <w:spacing w:after="120"/>
      </w:pPr>
      <w:r>
        <w:t xml:space="preserve">The assessment combined automated database, RLS, storage, and edge-function scanners with manual review of the Vestara/VFD integration flows. 21 findings were confirmed in this cycle: 5 Critical, 2 High, 12 Medium, and 2 Low. The dominant theme is over-permissive Row-Level Security (RLS) policies — particularly USING (true) on tables that hold beneficiary banking details, invite tokens, association documents, and the test ledger. No issues were found in the VFD API request signing, AccessToken handling, or the TLS posture of api.vestara.ng.</w:t>
      </w:r>
    </w:p>
    <w:p>
      <w:pPr>
        <w:pStyle w:val="Heading1"/>
        <w:spacing w:after="160" w:before="320"/>
      </w:pPr>
      <w:r>
        <w:rPr>
          <w:b/>
          <w:bCs/>
          <w:color w:val="1B3A57"/>
        </w:rPr>
        <w:t xml:space="preserve">2. 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Critical</w:t>
            </w:r>
          </w:p>
        </w:tc>
        <w:tc>
          <w:tcPr>
            <w:tcW w:type="dxa" w:w="234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High</w:t>
            </w:r>
          </w:p>
        </w:tc>
        <w:tc>
          <w:tcPr>
            <w:tcW w:type="dxa" w:w="234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Medium</w:t>
            </w:r>
          </w:p>
        </w:tc>
        <w:tc>
          <w:tcPr>
            <w:tcW w:type="dxa" w:w="234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Low</w:t>
            </w:r>
          </w:p>
        </w:tc>
      </w:tr>
      <w:tr>
        <w:tc>
          <w:tcPr>
            <w:tcW w:type="dxa" w:w="23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5</w:t>
            </w:r>
          </w:p>
        </w:tc>
        <w:tc>
          <w:tcPr>
            <w:tcW w:type="dxa" w:w="23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2</w:t>
            </w:r>
          </w:p>
        </w:tc>
        <w:tc>
          <w:tcPr>
            <w:tcW w:type="dxa" w:w="23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12</w:t>
            </w:r>
          </w:p>
        </w:tc>
        <w:tc>
          <w:tcPr>
            <w:tcW w:type="dxa" w:w="23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2</w:t>
            </w:r>
          </w:p>
        </w:tc>
      </w:tr>
    </w:tbl>
    <w:p>
      <w:pPr>
        <w:pStyle w:val="Heading1"/>
        <w:spacing w:after="160" w:before="320"/>
      </w:pPr>
      <w:r>
        <w:rPr>
          <w:b/>
          <w:bCs/>
          <w:color w:val="1B3A57"/>
        </w:rPr>
        <w:t xml:space="preserve">3. Methodology</w:t>
      </w:r>
    </w:p>
    <w:p>
      <w:pPr>
        <w:pStyle w:val="ListParagraph"/>
        <w:numPr>
          <w:ilvl w:val="0"/>
          <w:numId w:val="2"/>
        </w:numPr>
        <w:spacing w:after="80"/>
      </w:pPr>
      <w:r>
        <w:t xml:space="preserve">Reconnaissance — enumeration of Vestara endpoints (vestara.ng, api.vestara.ng), Supabase Edge Functions, and the VFD BaaS endpoints in scope.</w:t>
      </w:r>
    </w:p>
    <w:p>
      <w:pPr>
        <w:pStyle w:val="ListParagraph"/>
        <w:numPr>
          <w:ilvl w:val="0"/>
          <w:numId w:val="2"/>
        </w:numPr>
        <w:spacing w:after="80"/>
      </w:pPr>
      <w:r>
        <w:t xml:space="preserve">Static analysis — automated review of every Postgres table, RLS policy, storage bucket, and Realtime configuration.</w:t>
      </w:r>
    </w:p>
    <w:p>
      <w:pPr>
        <w:pStyle w:val="ListParagraph"/>
        <w:numPr>
          <w:ilvl w:val="0"/>
          <w:numId w:val="2"/>
        </w:numPr>
        <w:spacing w:after="80"/>
      </w:pPr>
      <w:r>
        <w:t xml:space="preserve">Dynamic testing — authenticated and unauthenticated calls against /vfd-banking, /vfd-sandbox-products, and /vestara-ledger edge functions.</w:t>
      </w:r>
    </w:p>
    <w:p>
      <w:pPr>
        <w:pStyle w:val="ListParagraph"/>
        <w:numPr>
          <w:ilvl w:val="0"/>
          <w:numId w:val="2"/>
        </w:numPr>
        <w:spacing w:after="80"/>
      </w:pPr>
      <w:r>
        <w:t xml:space="preserve">Authorisation testing — IDOR and tenancy-bypass attempts against group, target-Ajo, association, split-pay, and crowdfunding records.</w:t>
      </w:r>
    </w:p>
    <w:p>
      <w:pPr>
        <w:pStyle w:val="ListParagraph"/>
        <w:numPr>
          <w:ilvl w:val="0"/>
          <w:numId w:val="2"/>
        </w:numPr>
        <w:spacing w:after="80"/>
      </w:pPr>
      <w:r>
        <w:t xml:space="preserve">Transport &amp; client — TLS 1.3 validation, HSTS, and mobile-wrapper certificate-pinning posture review.</w:t>
      </w:r>
    </w:p>
    <w:p>
      <w:pPr>
        <w:pStyle w:val="ListParagraph"/>
        <w:numPr>
          <w:ilvl w:val="0"/>
          <w:numId w:val="2"/>
        </w:numPr>
        <w:spacing w:after="80"/>
      </w:pPr>
      <w:r>
        <w:t xml:space="preserve">Standards mapped: OWASP ASVS 4.0, OWASP MASVS, CBN AML/CFT/CPF Regulations 2022, and NDPA 2023.</w:t>
      </w:r>
    </w:p>
    <w:p>
      <w:pPr>
        <w:pStyle w:val="Heading1"/>
        <w:spacing w:after="160" w:before="320"/>
      </w:pPr>
      <w:r>
        <w:rPr>
          <w:b/>
          <w:bCs/>
          <w:color w:val="1B3A57"/>
        </w:rPr>
        <w:t xml:space="preserve">4. Scope</w:t>
      </w:r>
    </w:p>
    <w:p>
      <w:pPr>
        <w:spacing w:after="120"/>
      </w:pPr>
      <w:r>
        <w:t xml:space="preserve">In scope: vestara.ng web app, planned Android/iOS wrapper, all Supabase Edge Functions, the Vestara Postgres schema, Supabase Storage buckets, Supabase Realtime, and the integrated VFD BaaS endpoints (/wallet/account, /transfer, /transaction-status, /bills, etc.) consumed by Vestara.</w:t>
      </w:r>
    </w:p>
    <w:p>
      <w:pPr>
        <w:spacing w:after="120"/>
      </w:pPr>
      <w:r>
        <w:t xml:space="preserve">Out of scope: VFD's internal infrastructure, Resend mail delivery, and any future PSP integrations.</w:t>
      </w:r>
    </w:p>
    <w:p>
      <w:pPr>
        <w:pStyle w:val="Heading1"/>
        <w:spacing w:after="160" w:before="320"/>
      </w:pPr>
      <w:r>
        <w:rPr>
          <w:b/>
          <w:bCs/>
          <w:color w:val="1B3A57"/>
        </w:rPr>
        <w:t xml:space="preserve">5. Findings (Detailed)</w:t>
      </w:r>
    </w:p>
    <w:p>
      <w:pPr>
        <w:pStyle w:val="Heading2"/>
        <w:spacing w:after="80" w:before="240"/>
      </w:pPr>
      <w:r>
        <w:rPr>
          <w:b/>
          <w:bCs/>
          <w:color w:val="2E5C7E"/>
        </w:rPr>
        <w:t xml:space="preserve">VST-2026-001 — Authenticated read of all sensitive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B91C1C" w:color="auto" w:val="clear"/>
            <w:tcMar>
              <w:top w:type="dxa" w:w="80"/>
              <w:left w:type="dxa" w:w="120"/>
              <w:bottom w:type="dxa" w:w="80"/>
              <w:right w:type="dxa" w:w="120"/>
            </w:tcMar>
          </w:tcPr>
          <w:p>
            <w:r>
              <w:rPr>
                <w:b/>
                <w:bCs/>
                <w:color w:val="FFFFFF"/>
                <w:sz w:val="20"/>
                <w:szCs w:val="20"/>
              </w:rPr>
              <w:t xml:space="preserve">Critical</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public.profiles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Any logged-in user can SELECT BVN, phone, email, bank_account, bank_name, id_number, id_type, virtual_account_number, kyc_status, risk_level, and freeze_reason for every other user. Direct violation of NDPA 2023 s.24 and CBN data-privacy guidance.</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Replace the permissive 'Authenticated users can view basic profiles' policy with USING (id = auth.uid()) and keep the admin policy scoped to public.has_role(auth.uid(), 'admin').</w:t>
            </w:r>
          </w:p>
        </w:tc>
      </w:tr>
    </w:tbl>
    <w:p>
      <w:pPr>
        <w:spacing w:after="80"/>
      </w:pPr>
      <w:r>
        <w:t xml:space="preserve"/>
      </w:r>
    </w:p>
    <w:p>
      <w:pPr>
        <w:pStyle w:val="Heading2"/>
        <w:spacing w:after="80" w:before="240"/>
      </w:pPr>
      <w:r>
        <w:rPr>
          <w:b/>
          <w:bCs/>
          <w:color w:val="2E5C7E"/>
        </w:rPr>
        <w:t xml:space="preserve">VST-2026-002 — Public read/write on payments_test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B91C1C" w:color="auto" w:val="clear"/>
            <w:tcMar>
              <w:top w:type="dxa" w:w="80"/>
              <w:left w:type="dxa" w:w="120"/>
              <w:bottom w:type="dxa" w:w="80"/>
              <w:right w:type="dxa" w:w="120"/>
            </w:tcMar>
          </w:tcPr>
          <w:p>
            <w:r>
              <w:rPr>
                <w:b/>
                <w:bCs/>
                <w:color w:val="FFFFFF"/>
                <w:sz w:val="20"/>
                <w:szCs w:val="20"/>
              </w:rPr>
              <w:t xml:space="preserve">Critical</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public.payments_test</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Policy is bound to the {public} role with USING true / WITH CHECK true. Anonymous callers can read user_id, amount, tx_ref, flw_transaction_id, status, and failure_reason — and INSERT or DELETE rows.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Re-target the policy from {public} to {service_role}; revoke anon access; add a separate USING (auth.uid() = user_id) SELECT policy for the owner.</w:t>
            </w:r>
          </w:p>
        </w:tc>
      </w:tr>
    </w:tbl>
    <w:p>
      <w:pPr>
        <w:spacing w:after="80"/>
      </w:pPr>
      <w:r>
        <w:t xml:space="preserve"/>
      </w:r>
    </w:p>
    <w:p>
      <w:pPr>
        <w:pStyle w:val="Heading2"/>
        <w:spacing w:after="80" w:before="240"/>
      </w:pPr>
      <w:r>
        <w:rPr>
          <w:b/>
          <w:bCs/>
          <w:color w:val="2E5C7E"/>
        </w:rPr>
        <w:t xml:space="preserve">VST-2026-003 — Public read/write on ledger_confirmed_test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B91C1C" w:color="auto" w:val="clear"/>
            <w:tcMar>
              <w:top w:type="dxa" w:w="80"/>
              <w:left w:type="dxa" w:w="120"/>
              <w:bottom w:type="dxa" w:w="80"/>
              <w:right w:type="dxa" w:w="120"/>
            </w:tcMar>
          </w:tcPr>
          <w:p>
            <w:r>
              <w:rPr>
                <w:b/>
                <w:bCs/>
                <w:color w:val="FFFFFF"/>
                <w:sz w:val="20"/>
                <w:szCs w:val="20"/>
              </w:rPr>
              <w:t xml:space="preserve">Critical</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public.ledger_confirmed_test</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Identical mis-targeting as VST-2026-002. Confirms the test ledger is fully exposed to unauthenticated callers, undermining the integrity of the wallet ledger reconciliation against VFD statements.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Re-target the policy to {service_role}; recreate per-user SELECT scoped to auth.uid().</w:t>
            </w:r>
          </w:p>
        </w:tc>
      </w:tr>
    </w:tbl>
    <w:p>
      <w:pPr>
        <w:spacing w:after="80"/>
      </w:pPr>
      <w:r>
        <w:t xml:space="preserve"/>
      </w:r>
    </w:p>
    <w:p>
      <w:pPr>
        <w:pStyle w:val="Heading2"/>
        <w:spacing w:after="80" w:before="240"/>
      </w:pPr>
      <w:r>
        <w:rPr>
          <w:b/>
          <w:bCs/>
          <w:color w:val="2E5C7E"/>
        </w:rPr>
        <w:t xml:space="preserve">VST-2026-004 — Beneficiary bank details exposed without auth (goal_campaigns)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B91C1C" w:color="auto" w:val="clear"/>
            <w:tcMar>
              <w:top w:type="dxa" w:w="80"/>
              <w:left w:type="dxa" w:w="120"/>
              <w:bottom w:type="dxa" w:w="80"/>
              <w:right w:type="dxa" w:w="120"/>
            </w:tcMar>
          </w:tcPr>
          <w:p>
            <w:r>
              <w:rPr>
                <w:b/>
                <w:bCs/>
                <w:color w:val="FFFFFF"/>
                <w:sz w:val="20"/>
                <w:szCs w:val="20"/>
              </w:rPr>
              <w:t xml:space="preserve">Critical</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public.goal_campaigns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Anonymous traffic can read beneficiary_account_number, beneficiary_bank_name, and beneficiary_account_name for every active and completed campaign. Sample data confirms real bank account numbers are exposed.</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'Anyone can view active campaigns' to authenticated role and add a public-safe view that omits beneficiary_* columns; surface the public view to the landing page only.</w:t>
            </w:r>
          </w:p>
        </w:tc>
      </w:tr>
    </w:tbl>
    <w:p>
      <w:pPr>
        <w:spacing w:after="80"/>
      </w:pPr>
      <w:r>
        <w:t xml:space="preserve"/>
      </w:r>
    </w:p>
    <w:p>
      <w:pPr>
        <w:pStyle w:val="Heading2"/>
        <w:spacing w:after="80" w:before="240"/>
      </w:pPr>
      <w:r>
        <w:rPr>
          <w:b/>
          <w:bCs/>
          <w:color w:val="2E5C7E"/>
        </w:rPr>
        <w:t xml:space="preserve">VST-2026-005 — No RLS on realtime.messages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B91C1C" w:color="auto" w:val="clear"/>
            <w:tcMar>
              <w:top w:type="dxa" w:w="80"/>
              <w:left w:type="dxa" w:w="120"/>
              <w:bottom w:type="dxa" w:w="80"/>
              <w:right w:type="dxa" w:w="120"/>
            </w:tcMar>
          </w:tcPr>
          <w:p>
            <w:r>
              <w:rPr>
                <w:b/>
                <w:bCs/>
                <w:color w:val="FFFFFF"/>
                <w:sz w:val="20"/>
                <w:szCs w:val="20"/>
              </w:rPr>
              <w:t xml:space="preserve">Critical</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Realtime / Subscriptions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Any authenticated user can subscribe to any Realtime channel topic — including private association chats, campaign owner panels, and admin notification streams.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Add an RLS policy on realtime.messages that authorises subscriptions only when the channel topic encodes a resource the caller owns or belongs to (auth.uid() membership check).</w:t>
            </w:r>
          </w:p>
        </w:tc>
      </w:tr>
    </w:tbl>
    <w:p>
      <w:pPr>
        <w:spacing w:after="80"/>
      </w:pPr>
      <w:r>
        <w:t xml:space="preserve"/>
      </w:r>
    </w:p>
    <w:p>
      <w:pPr>
        <w:pStyle w:val="Heading2"/>
        <w:spacing w:after="80" w:before="240"/>
      </w:pPr>
      <w:r>
        <w:rPr>
          <w:b/>
          <w:bCs/>
          <w:color w:val="2E5C7E"/>
        </w:rPr>
        <w:t xml:space="preserve">VST-2026-006 — Sandbox campaign beneficiary banking exposed to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C2626" w:color="auto" w:val="clear"/>
            <w:tcMar>
              <w:top w:type="dxa" w:w="80"/>
              <w:left w:type="dxa" w:w="120"/>
              <w:bottom w:type="dxa" w:w="80"/>
              <w:right w:type="dxa" w:w="120"/>
            </w:tcMar>
          </w:tcPr>
          <w:p>
            <w:r>
              <w:rPr>
                <w:b/>
                <w:bCs/>
                <w:color w:val="FFFFFF"/>
                <w:sz w:val="20"/>
                <w:szCs w:val="20"/>
              </w:rPr>
              <w:t xml:space="preserve">High</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public.vfd_sandbox_campaigns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USING true exposes beneficiary_account_number, beneficiary_bank_name, and beneficiary_account_name across the sandbox to every authenticated tester.</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SELECT to creator + admins; serve a redacted projection to other users.</w:t>
            </w:r>
          </w:p>
        </w:tc>
      </w:tr>
    </w:tbl>
    <w:p>
      <w:pPr>
        <w:spacing w:after="80"/>
      </w:pPr>
      <w:r>
        <w:t xml:space="preserve"/>
      </w:r>
    </w:p>
    <w:p>
      <w:pPr>
        <w:pStyle w:val="Heading2"/>
        <w:spacing w:after="80" w:before="240"/>
      </w:pPr>
      <w:r>
        <w:rPr>
          <w:b/>
          <w:bCs/>
          <w:color w:val="2E5C7E"/>
        </w:rPr>
        <w:t xml:space="preserve">VST-2026-007 — Thrift group invite codes leak to anonymous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C2626" w:color="auto" w:val="clear"/>
            <w:tcMar>
              <w:top w:type="dxa" w:w="80"/>
              <w:left w:type="dxa" w:w="120"/>
              <w:bottom w:type="dxa" w:w="80"/>
              <w:right w:type="dxa" w:w="120"/>
            </w:tcMar>
          </w:tcPr>
          <w:p>
            <w:r>
              <w:rPr>
                <w:b/>
                <w:bCs/>
                <w:color w:val="FFFFFF"/>
                <w:sz w:val="20"/>
                <w:szCs w:val="20"/>
              </w:rPr>
              <w:t xml:space="preserve">High</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public.thrift_groups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'Anyone can view pending groups' applies to {public}; an attacker can enumerate invite_code values and join groups they were never invited to.</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authenticated users; never expose invite_code in the public list — issue codes via the invite endpoint only.</w:t>
            </w:r>
          </w:p>
        </w:tc>
      </w:tr>
    </w:tbl>
    <w:p>
      <w:pPr>
        <w:spacing w:after="80"/>
      </w:pPr>
      <w:r>
        <w:t xml:space="preserve"/>
      </w:r>
    </w:p>
    <w:p>
      <w:pPr>
        <w:pStyle w:val="Heading2"/>
        <w:spacing w:after="80" w:before="240"/>
      </w:pPr>
      <w:r>
        <w:rPr>
          <w:b/>
          <w:bCs/>
          <w:color w:val="2E5C7E"/>
        </w:rPr>
        <w:t xml:space="preserve">VST-2026-008 — All group invite link tokens visible to authenticated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vfd_sandbox_group_invite_links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Any authenticated user can SELECT every invite_token; combined with the join endpoint, this enables silent membership escalation.</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SELECT to created_by = auth.uid() OR group admin; rotate exposed tokens.</w:t>
            </w:r>
          </w:p>
        </w:tc>
      </w:tr>
    </w:tbl>
    <w:p>
      <w:pPr>
        <w:spacing w:after="80"/>
      </w:pPr>
      <w:r>
        <w:t xml:space="preserve"/>
      </w:r>
    </w:p>
    <w:p>
      <w:pPr>
        <w:pStyle w:val="Heading2"/>
        <w:spacing w:after="80" w:before="240"/>
      </w:pPr>
      <w:r>
        <w:rPr>
          <w:b/>
          <w:bCs/>
          <w:color w:val="2E5C7E"/>
        </w:rPr>
        <w:t xml:space="preserve">VST-2026-009 — Group memberships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vfd_sandbox_group_members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USING true reveals payout_position, has_received_payout, terms_accepted_at, and mandate metadata for every group.</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SELECT to members of the same group via a SECURITY DEFINER helper to avoid recursive RLS.</w:t>
            </w:r>
          </w:p>
        </w:tc>
      </w:tr>
    </w:tbl>
    <w:p>
      <w:pPr>
        <w:spacing w:after="80"/>
      </w:pPr>
      <w:r>
        <w:t xml:space="preserve"/>
      </w:r>
    </w:p>
    <w:p>
      <w:pPr>
        <w:pStyle w:val="Heading2"/>
        <w:spacing w:after="80" w:before="240"/>
      </w:pPr>
      <w:r>
        <w:rPr>
          <w:b/>
          <w:bCs/>
          <w:color w:val="2E5C7E"/>
        </w:rPr>
        <w:t xml:space="preserve">VST-2026-010 — Split payments + merchant bank details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vfd_sandbox_splits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Exposes merchant_account_number, merchant_bank_name, settlement_reference, and settlement_status to all users.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SELECT to creator + participants only.</w:t>
            </w:r>
          </w:p>
        </w:tc>
      </w:tr>
    </w:tbl>
    <w:p>
      <w:pPr>
        <w:spacing w:after="80"/>
      </w:pPr>
      <w:r>
        <w:t xml:space="preserve"/>
      </w:r>
    </w:p>
    <w:p>
      <w:pPr>
        <w:pStyle w:val="Heading2"/>
        <w:spacing w:after="80" w:before="240"/>
      </w:pPr>
      <w:r>
        <w:rPr>
          <w:b/>
          <w:bCs/>
          <w:color w:val="2E5C7E"/>
        </w:rPr>
        <w:t xml:space="preserve">VST-2026-011 — Split participant rows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vfd_sandbox_split_participants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User IDs, owed amounts, and payment status of every participant in every split are visible to every authenticated user.</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split creator + the participant's own row.</w:t>
            </w:r>
          </w:p>
        </w:tc>
      </w:tr>
    </w:tbl>
    <w:p>
      <w:pPr>
        <w:spacing w:after="80"/>
      </w:pPr>
      <w:r>
        <w:t xml:space="preserve"/>
      </w:r>
    </w:p>
    <w:p>
      <w:pPr>
        <w:pStyle w:val="Heading2"/>
        <w:spacing w:after="80" w:before="240"/>
      </w:pPr>
      <w:r>
        <w:rPr>
          <w:b/>
          <w:bCs/>
          <w:color w:val="2E5C7E"/>
        </w:rPr>
        <w:t xml:space="preserve">VST-2026-012 — Split transactions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vfd_sandbox_split_transactions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Transaction owner, amount, and status leak across the sandbox.</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transaction owner + split creator.</w:t>
            </w:r>
          </w:p>
        </w:tc>
      </w:tr>
    </w:tbl>
    <w:p>
      <w:pPr>
        <w:spacing w:after="80"/>
      </w:pPr>
      <w:r>
        <w:t xml:space="preserve"/>
      </w:r>
    </w:p>
    <w:p>
      <w:pPr>
        <w:pStyle w:val="Heading2"/>
        <w:spacing w:after="80" w:before="240"/>
      </w:pPr>
      <w:r>
        <w:rPr>
          <w:b/>
          <w:bCs/>
          <w:color w:val="2E5C7E"/>
        </w:rPr>
        <w:t xml:space="preserve">VST-2026-013 — Association memberships globally enumerable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vfd_sandbox_association_memberships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All memberships of all associations are listable.</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members of the same association.</w:t>
            </w:r>
          </w:p>
        </w:tc>
      </w:tr>
    </w:tbl>
    <w:p>
      <w:pPr>
        <w:spacing w:after="80"/>
      </w:pPr>
      <w:r>
        <w:t xml:space="preserve"/>
      </w:r>
    </w:p>
    <w:p>
      <w:pPr>
        <w:pStyle w:val="Heading2"/>
        <w:spacing w:after="80" w:before="240"/>
      </w:pPr>
      <w:r>
        <w:rPr>
          <w:b/>
          <w:bCs/>
          <w:color w:val="2E5C7E"/>
        </w:rPr>
        <w:t xml:space="preserve">VST-2026-014 — Association wallet balances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vfd_sandbox_association_wallets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available_balance for every association is visible to every authenticated user.</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association members only.</w:t>
            </w:r>
          </w:p>
        </w:tc>
      </w:tr>
    </w:tbl>
    <w:p>
      <w:pPr>
        <w:spacing w:after="80"/>
      </w:pPr>
      <w:r>
        <w:t xml:space="preserve"/>
      </w:r>
    </w:p>
    <w:p>
      <w:pPr>
        <w:pStyle w:val="Heading2"/>
        <w:spacing w:after="80" w:before="240"/>
      </w:pPr>
      <w:r>
        <w:rPr>
          <w:b/>
          <w:bCs/>
          <w:color w:val="2E5C7E"/>
        </w:rPr>
        <w:t xml:space="preserve">VST-2026-015 — Association approval data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vfd_sandbox_associations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executive_ids_url, request_letter_url, signatures_url, rejection_reason, and approval_status are visible to all users — a privacy risk for executives' personal IDs.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members + admin; serve signed URLs from the admin endpoint only.</w:t>
            </w:r>
          </w:p>
        </w:tc>
      </w:tr>
    </w:tbl>
    <w:p>
      <w:pPr>
        <w:spacing w:after="80"/>
      </w:pPr>
      <w:r>
        <w:t xml:space="preserve"/>
      </w:r>
    </w:p>
    <w:p>
      <w:pPr>
        <w:pStyle w:val="Heading2"/>
        <w:spacing w:after="80" w:before="240"/>
      </w:pPr>
      <w:r>
        <w:rPr>
          <w:b/>
          <w:bCs/>
          <w:color w:val="2E5C7E"/>
        </w:rPr>
        <w:t xml:space="preserve">VST-2026-016 — Campaign contributions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vfd_sandbox_campaign_contributions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contributor_id, amount, and contributor_name leak across all campaigns.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contributor + campaign creator.</w:t>
            </w:r>
          </w:p>
        </w:tc>
      </w:tr>
    </w:tbl>
    <w:p>
      <w:pPr>
        <w:spacing w:after="80"/>
      </w:pPr>
      <w:r>
        <w:t xml:space="preserve"/>
      </w:r>
    </w:p>
    <w:p>
      <w:pPr>
        <w:pStyle w:val="Heading2"/>
        <w:spacing w:after="80" w:before="240"/>
      </w:pPr>
      <w:r>
        <w:rPr>
          <w:b/>
          <w:bCs/>
          <w:color w:val="2E5C7E"/>
        </w:rPr>
        <w:t xml:space="preserve">VST-2026-017 — Group contributions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vfd_sandbox_group_contributions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Per-cycle contribution rows visible to non-members.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members of the corresponding group.</w:t>
            </w:r>
          </w:p>
        </w:tc>
      </w:tr>
    </w:tbl>
    <w:p>
      <w:pPr>
        <w:spacing w:after="80"/>
      </w:pPr>
      <w:r>
        <w:t xml:space="preserve"/>
      </w:r>
    </w:p>
    <w:p>
      <w:pPr>
        <w:pStyle w:val="Heading2"/>
        <w:spacing w:after="80" w:before="240"/>
      </w:pPr>
      <w:r>
        <w:rPr>
          <w:b/>
          <w:bCs/>
          <w:color w:val="2E5C7E"/>
        </w:rPr>
        <w:t xml:space="preserve">VST-2026-018 — Group payouts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vfd_sandbox_group_payouts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Recipient, gross/net, and platform_fee fields visible to all users.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Restrict to members of the corresponding group.</w:t>
            </w:r>
          </w:p>
        </w:tc>
      </w:tr>
    </w:tbl>
    <w:p>
      <w:pPr>
        <w:spacing w:after="80"/>
      </w:pPr>
      <w:r>
        <w:t xml:space="preserve"/>
      </w:r>
    </w:p>
    <w:p>
      <w:pPr>
        <w:pStyle w:val="Heading2"/>
        <w:spacing w:after="80" w:before="240"/>
      </w:pPr>
      <w:r>
        <w:rPr>
          <w:b/>
          <w:bCs/>
          <w:color w:val="2E5C7E"/>
        </w:rPr>
        <w:t xml:space="preserve">VST-2026-019 — Target Ajo membership/contribution/invite/withdrawal data globally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D97706" w:color="auto" w:val="clear"/>
            <w:tcMar>
              <w:top w:type="dxa" w:w="80"/>
              <w:left w:type="dxa" w:w="120"/>
              <w:bottom w:type="dxa" w:w="80"/>
              <w:right w:type="dxa" w:w="120"/>
            </w:tcMar>
          </w:tcPr>
          <w:p>
            <w:r>
              <w:rPr>
                <w:b/>
                <w:bCs/>
                <w:color w:val="FFFFFF"/>
                <w:sz w:val="20"/>
                <w:szCs w:val="20"/>
              </w:rPr>
              <w:t xml:space="preserve">Medium</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vfd_sandbox_target_* (5 tables)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User IDs, contribution amounts, invitation status, and withdrawal voting records leak across every target group.</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Add SECURITY DEFINER member-check helpers and restrict each USING clause to those members.</w:t>
            </w:r>
          </w:p>
        </w:tc>
      </w:tr>
    </w:tbl>
    <w:p>
      <w:pPr>
        <w:spacing w:after="80"/>
      </w:pPr>
      <w:r>
        <w:t xml:space="preserve"/>
      </w:r>
    </w:p>
    <w:p>
      <w:pPr>
        <w:pStyle w:val="Heading2"/>
        <w:spacing w:after="80" w:before="240"/>
      </w:pPr>
      <w:r>
        <w:rPr>
          <w:b/>
          <w:bCs/>
          <w:color w:val="2E5C7E"/>
        </w:rPr>
        <w:t xml:space="preserve">VST-2026-020 — Permissive RLS expressions (USING true on non-SELECT)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059669" w:color="auto" w:val="clear"/>
            <w:tcMar>
              <w:top w:type="dxa" w:w="80"/>
              <w:left w:type="dxa" w:w="120"/>
              <w:bottom w:type="dxa" w:w="80"/>
              <w:right w:type="dxa" w:w="120"/>
            </w:tcMar>
          </w:tcPr>
          <w:p>
            <w:r>
              <w:rPr>
                <w:b/>
                <w:bCs/>
                <w:color w:val="FFFFFF"/>
                <w:sz w:val="20"/>
                <w:szCs w:val="20"/>
              </w:rPr>
              <w:t xml:space="preserve">Low</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Database / RLS — multiple tables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Two tables retain USING true / WITH CHECK true on UPDATE or DELETE policies. Even when the target role is correct, this widens the blast radius if the role is ever broadened.</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Tighten USING expressions to ownership predicates.</w:t>
            </w:r>
          </w:p>
        </w:tc>
      </w:tr>
    </w:tbl>
    <w:p>
      <w:pPr>
        <w:spacing w:after="80"/>
      </w:pPr>
      <w:r>
        <w:t xml:space="preserve"/>
      </w:r>
    </w:p>
    <w:p>
      <w:pPr>
        <w:pStyle w:val="Heading2"/>
        <w:spacing w:after="80" w:before="240"/>
      </w:pPr>
      <w:r>
        <w:rPr>
          <w:b/>
          <w:bCs/>
          <w:color w:val="2E5C7E"/>
        </w:rPr>
        <w:t xml:space="preserve">VST-2026-021 — Public storage bucket allows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Severity</w:t>
            </w:r>
          </w:p>
        </w:tc>
        <w:tc>
          <w:tcPr>
            <w:tcW w:type="dxa" w:w="7160"/>
            <w:tcBorders>
              <w:top w:val="single" w:color="B0B7C3" w:sz="4"/>
              <w:left w:val="single" w:color="B0B7C3" w:sz="4"/>
              <w:bottom w:val="single" w:color="B0B7C3" w:sz="4"/>
              <w:right w:val="single" w:color="B0B7C3" w:sz="4"/>
            </w:tcBorders>
            <w:shd w:fill="059669" w:color="auto" w:val="clear"/>
            <w:tcMar>
              <w:top w:type="dxa" w:w="80"/>
              <w:left w:type="dxa" w:w="120"/>
              <w:bottom w:type="dxa" w:w="80"/>
              <w:right w:type="dxa" w:w="120"/>
            </w:tcMar>
          </w:tcPr>
          <w:p>
            <w:r>
              <w:rPr>
                <w:b/>
                <w:bCs/>
                <w:color w:val="FFFFFF"/>
                <w:sz w:val="20"/>
                <w:szCs w:val="20"/>
              </w:rPr>
              <w:t xml:space="preserve">Low</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Storage</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Impact</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Two storage buckets allow LIST on storage.objects, enabling enumeration of object keys (chat attachments, profile pictures).</w:t>
            </w:r>
          </w:p>
        </w:tc>
      </w:tr>
      <w:tr>
        <w:tc>
          <w:tcPr>
            <w:tcW w:type="dxa" w:w="22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sz w:val="20"/>
                <w:szCs w:val="20"/>
              </w:rPr>
              <w:t xml:space="preserve">Remediation</w:t>
            </w:r>
          </w:p>
        </w:tc>
        <w:tc>
          <w:tcPr>
            <w:tcW w:type="dxa" w:w="7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sz w:val="20"/>
                <w:szCs w:val="20"/>
              </w:rPr>
              <w:t xml:space="preserve">Drop the broad SELECT policy and serve resources via signed URLs only.</w:t>
            </w:r>
          </w:p>
        </w:tc>
      </w:tr>
    </w:tbl>
    <w:p>
      <w:pPr>
        <w:spacing w:after="80"/>
      </w:pPr>
      <w:r>
        <w:t xml:space="preserve"/>
      </w:r>
    </w:p>
    <w:p>
      <w:r>
        <w:br w:type="page"/>
      </w:r>
    </w:p>
    <w:p>
      <w:pPr>
        <w:pStyle w:val="Heading1"/>
        <w:spacing w:after="160" w:before="320"/>
      </w:pPr>
      <w:r>
        <w:rPr>
          <w:b/>
          <w:bCs/>
          <w:color w:val="1B3A57"/>
        </w:rPr>
        <w:t xml:space="preserve">6. VFD Integration Hardening Review</w:t>
      </w:r>
    </w:p>
    <w:p>
      <w:pPr>
        <w:pStyle w:val="ListParagraph"/>
        <w:numPr>
          <w:ilvl w:val="0"/>
          <w:numId w:val="2"/>
        </w:numPr>
        <w:spacing w:after="80"/>
      </w:pPr>
      <w:r>
        <w:t xml:space="preserve">Authentication: VFD AccessToken is held in Supabase Edge Function secrets and never exposed to the client. ✓</w:t>
      </w:r>
    </w:p>
    <w:p>
      <w:pPr>
        <w:pStyle w:val="ListParagraph"/>
        <w:numPr>
          <w:ilvl w:val="0"/>
          <w:numId w:val="2"/>
        </w:numPr>
        <w:spacing w:after="80"/>
      </w:pPr>
      <w:r>
        <w:t xml:space="preserve">TLS: api.vestara.ng terminates TLS 1.3 with HSTS preload eligible; VFD calls negotiate TLS 1.2+. ✓</w:t>
      </w:r>
    </w:p>
    <w:p>
      <w:pPr>
        <w:pStyle w:val="ListParagraph"/>
        <w:numPr>
          <w:ilvl w:val="0"/>
          <w:numId w:val="2"/>
        </w:numPr>
        <w:spacing w:after="80"/>
      </w:pPr>
      <w:r>
        <w:t xml:space="preserve">Idempotency: All money-movement endpoints accept a Vestara-generated idempotency key bound to the user + reference. ✓</w:t>
      </w:r>
    </w:p>
    <w:p>
      <w:pPr>
        <w:pStyle w:val="ListParagraph"/>
        <w:numPr>
          <w:ilvl w:val="0"/>
          <w:numId w:val="2"/>
        </w:numPr>
        <w:spacing w:after="80"/>
      </w:pPr>
      <w:r>
        <w:t xml:space="preserve">Webhook validation: VFD callbacks are HMAC-verified before mutating wallet ledger entries. ✓</w:t>
      </w:r>
    </w:p>
    <w:p>
      <w:pPr>
        <w:pStyle w:val="ListParagraph"/>
        <w:numPr>
          <w:ilvl w:val="0"/>
          <w:numId w:val="2"/>
        </w:numPr>
        <w:spacing w:after="80"/>
      </w:pPr>
      <w:r>
        <w:t xml:space="preserve">Replay protection: tx_ref is unique per call; reused refs are rejected at the edge. ✓</w:t>
      </w:r>
    </w:p>
    <w:p>
      <w:pPr>
        <w:pStyle w:val="ListParagraph"/>
        <w:numPr>
          <w:ilvl w:val="0"/>
          <w:numId w:val="2"/>
        </w:numPr>
        <w:spacing w:after="80"/>
      </w:pPr>
      <w:r>
        <w:t xml:space="preserve">Sensitive-field encryption: BVN, NIN, account_number, and phone are stored AES-256-encrypted; raw values never appear in audit logs. ✓</w:t>
      </w:r>
    </w:p>
    <w:p>
      <w:pPr>
        <w:pStyle w:val="ListParagraph"/>
        <w:numPr>
          <w:ilvl w:val="0"/>
          <w:numId w:val="2"/>
        </w:numPr>
        <w:spacing w:after="80"/>
      </w:pPr>
      <w:r>
        <w:t xml:space="preserve">Rate limiting: per-user and per-IP throttles applied on /vfd-banking and /vfd-sandbox-products.</w:t>
      </w:r>
    </w:p>
    <w:p>
      <w:pPr>
        <w:pStyle w:val="Heading1"/>
        <w:spacing w:after="160" w:before="320"/>
      </w:pPr>
      <w:r>
        <w:rPr>
          <w:b/>
          <w:bCs/>
          <w:color w:val="1B3A57"/>
        </w:rPr>
        <w:t xml:space="preserve">7. Mobile App Wrapper Findings</w:t>
      </w:r>
    </w:p>
    <w:p>
      <w:pPr>
        <w:pStyle w:val="ListParagraph"/>
        <w:numPr>
          <w:ilvl w:val="0"/>
          <w:numId w:val="2"/>
        </w:numPr>
        <w:spacing w:after="80"/>
      </w:pPr>
      <w:r>
        <w:t xml:space="preserve">Wrapper readiness review confirmed plans for FLAG_SECURE on KYC + bank-details screens and iOS screen-capture protection. — Recommend implementing before production release.</w:t>
      </w:r>
    </w:p>
    <w:p>
      <w:pPr>
        <w:pStyle w:val="ListParagraph"/>
        <w:numPr>
          <w:ilvl w:val="0"/>
          <w:numId w:val="2"/>
        </w:numPr>
        <w:spacing w:after="80"/>
      </w:pPr>
      <w:r>
        <w:t xml:space="preserve">Recommend SSL pinning to the api.vestara.ng leaf certificate and a fallback intermediate.</w:t>
      </w:r>
    </w:p>
    <w:p>
      <w:pPr>
        <w:pStyle w:val="ListParagraph"/>
        <w:numPr>
          <w:ilvl w:val="0"/>
          <w:numId w:val="2"/>
        </w:numPr>
        <w:spacing w:after="80"/>
      </w:pPr>
      <w:r>
        <w:t xml:space="preserve">Recommend root/jailbreak detection that blocks Tier-2/Tier-3 KYC upgrades and any wallet debits.</w:t>
      </w:r>
    </w:p>
    <w:p>
      <w:pPr>
        <w:pStyle w:val="ListParagraph"/>
        <w:numPr>
          <w:ilvl w:val="0"/>
          <w:numId w:val="2"/>
        </w:numPr>
        <w:spacing w:after="80"/>
      </w:pPr>
      <w:r>
        <w:t xml:space="preserve">Recommend disabling cleartext traffic and verifying that no third-party SDK proxies VFD-bound requests.</w:t>
      </w:r>
    </w:p>
    <w:p>
      <w:pPr>
        <w:pStyle w:val="Heading1"/>
        <w:spacing w:after="160" w:before="320"/>
      </w:pPr>
      <w:r>
        <w:rPr>
          <w:b/>
          <w:bCs/>
          <w:color w:val="1B3A57"/>
        </w:rPr>
        <w:t xml:space="preserve">8. Remediation Plan</w:t>
      </w:r>
    </w:p>
    <w:p>
      <w:pPr>
        <w:spacing w:after="120"/>
      </w:pPr>
      <w:r>
        <w:t xml:space="preserve">All Critical and High findings will be remediated within 7 days via Supabase migrations that tighten RLS policies, re-target service-role policies, restrict invite-token visibility, and add Realtime channel authorisation. Medium findings will be remediated within 30 days. Low findings within 60 days. A re-test will be issued after each batch.</w:t>
      </w:r>
    </w:p>
    <w:p>
      <w:pPr>
        <w:pStyle w:val="Heading1"/>
        <w:spacing w:after="160" w:before="320"/>
      </w:pPr>
      <w:r>
        <w:rPr>
          <w:b/>
          <w:bCs/>
          <w:color w:val="1B3A57"/>
        </w:rPr>
        <w:t xml:space="preserve">9. Reporting &amp; Sign-Off</w:t>
      </w:r>
    </w:p>
    <w:p>
      <w:pPr>
        <w:spacing w:after="120"/>
      </w:pPr>
      <w:r>
        <w:t xml:space="preserve">This report has been prepared by the Vestara Security &amp; Compliance team for internal use, regulatory submission to VFD Microfinance Bank Plc as the underlying licensed institution, and for sharing with Vestara's auditors. Distribution beyond these parties requires written approval from the Vestara Chief Compliance Officer.</w:t>
      </w:r>
    </w:p>
    <w:p>
      <w:pPr>
        <w:spacing w:after="120"/>
      </w:pPr>
      <w:r>
        <w:t xml:space="preserve">Operator: LLH Premium Enterprise</w:t>
      </w:r>
    </w:p>
    <w:p>
      <w:pPr>
        <w:spacing w:after="120"/>
      </w:pPr>
      <w:r>
        <w:t xml:space="preserve">Contact: security@vestara.ng • compliance@vestara.ng</w:t>
      </w:r>
    </w:p>
    <w:p>
      <w:pPr>
        <w:spacing w:after="120"/>
      </w:pPr>
      <w:r>
        <w:t xml:space="preserve">Web: https://vestara.ng • Phone: 09039479554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Vestara — VAPT Report v1.1 (Sandbox) • CONFIDENTIAL • vestara.ng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B3A57"/>
      <w:sz w:val="32"/>
      <w:szCs w:val="32"/>
    </w:rPr>
  </w:style>
  <w:style w:type="paragraph" w:styleId="Heading2">
    <w:name w:val="Heading 2"/>
    <w:basedOn w:val="Normal"/>
    <w:next w:val="Normal"/>
    <w:qFormat/>
    <w:pPr>
      <w:spacing w:after="120" w:before="240"/>
      <w:outlineLvl w:val="1"/>
    </w:pPr>
    <w:rPr>
      <w:b/>
      <w:bCs/>
      <w:color w:val="2E5C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Vestara — VAPT Report (Sandbox)</dc:title>
  <dc:creator>Vestara Security</dc:creator>
  <cp:lastModifiedBy>Un-named</cp:lastModifiedBy>
  <cp:revision>1</cp:revision>
  <dcterms:created xsi:type="dcterms:W3CDTF">2026-04-23T10:27:26.341Z</dcterms:created>
  <dcterms:modified xsi:type="dcterms:W3CDTF">2026-04-23T10:27:26.341Z</dcterms:modified>
</cp:coreProperties>
</file>

<file path=docProps/custom.xml><?xml version="1.0" encoding="utf-8"?>
<Properties xmlns="http://schemas.openxmlformats.org/officeDocument/2006/custom-properties" xmlns:vt="http://schemas.openxmlformats.org/officeDocument/2006/docPropsVTypes"/>
</file>