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0F5C3A"/>
          <w:sz w:val="44"/>
          <w:szCs w:val="44"/>
        </w:rPr>
        <w:t xml:space="preserve">KYC Onboarding Policy</w:t>
      </w:r>
    </w:p>
    <w:p>
      <w:pPr>
        <w:spacing w:after="360"/>
        <w:jc w:val="center"/>
      </w:pPr>
      <w:r>
        <w:rPr>
          <w:rFonts w:ascii="Calibri" w:cs="Calibri" w:eastAsia="Calibri" w:hAnsi="Calibri"/>
          <w:i/>
          <w:iCs/>
          <w:color w:val="555555"/>
          <w:sz w:val="24"/>
          <w:szCs w:val="24"/>
        </w:rPr>
        <w:t xml:space="preserve">Wesave Platform — Operated by LLH Premium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Document Owner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LLH Premium Enterprise (Wesave)</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Version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1.0</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Effective Date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April 2026</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Review Cycle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Annual</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Approved By</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Compliance Officer &amp; Board of Directors</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Classification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Confidential — Regulator Distribution</w:t>
            </w:r>
          </w:p>
        </w:tc>
      </w:tr>
    </w:tbl>
    <w:p>
      <w:r>
        <w:br w:type="page"/>
      </w:r>
    </w:p>
    <w:p>
      <w:pPr>
        <w:pStyle w:val="Heading1"/>
        <w:spacing w:after="200" w:before="360"/>
      </w:pPr>
      <w:r>
        <w:rPr>
          <w:rFonts w:ascii="Calibri" w:cs="Calibri" w:eastAsia="Calibri" w:hAnsi="Calibri"/>
          <w:b/>
          <w:bCs/>
          <w:color w:val="0F5C3A"/>
          <w:sz w:val="36"/>
          <w:szCs w:val="36"/>
        </w:rPr>
        <w:t xml:space="preserve">1. Purpose</w:t>
      </w:r>
    </w:p>
    <w:p>
      <w:pPr>
        <w:spacing w:after="120" w:line="320"/>
        <w:jc w:val="both"/>
      </w:pPr>
      <w:r>
        <w:rPr>
          <w:rFonts w:ascii="Calibri" w:cs="Calibri" w:eastAsia="Calibri" w:hAnsi="Calibri"/>
          <w:sz w:val="22"/>
          <w:szCs w:val="22"/>
        </w:rPr>
        <w:t xml:space="preserve">This Know-Your-Customer (KYC) Onboarding Policy defines the standards, procedures, and controls applied by LLH Premium Enterprise (Wesave) for the identification and verification of customers prior to the provision of any digital thrift, savings, contribution, or wallet service. It is designed to comply with the CBN 3-Tier KYC framework, the Money Laundering (Prevention and Prohibition) Act 2022, the NDPA 2023, and partner-bank requirements imposed by VFD Microfinance Bank as Wesave’s settlement partner.</w:t>
      </w:r>
    </w:p>
    <w:p>
      <w:pPr>
        <w:pStyle w:val="Heading1"/>
        <w:spacing w:after="200" w:before="360"/>
      </w:pPr>
      <w:r>
        <w:rPr>
          <w:rFonts w:ascii="Calibri" w:cs="Calibri" w:eastAsia="Calibri" w:hAnsi="Calibri"/>
          <w:b/>
          <w:bCs/>
          <w:color w:val="0F5C3A"/>
          <w:sz w:val="36"/>
          <w:szCs w:val="36"/>
        </w:rPr>
        <w:t xml:space="preserve">2. KYC Principles</w:t>
      </w:r>
    </w:p>
    <w:p>
      <w:pPr>
        <w:pStyle w:val="ListParagraph"/>
        <w:numPr>
          <w:ilvl w:val="0"/>
          <w:numId w:val="2"/>
        </w:numPr>
        <w:spacing w:after="80" w:line="300"/>
      </w:pPr>
      <w:r>
        <w:rPr>
          <w:rFonts w:ascii="Calibri" w:cs="Calibri" w:eastAsia="Calibri" w:hAnsi="Calibri"/>
          <w:sz w:val="22"/>
          <w:szCs w:val="22"/>
        </w:rPr>
        <w:t xml:space="preserve">Identification: Establish the true identity of every customer using reliable, independent source documents.</w:t>
      </w:r>
    </w:p>
    <w:p>
      <w:pPr>
        <w:pStyle w:val="ListParagraph"/>
        <w:numPr>
          <w:ilvl w:val="0"/>
          <w:numId w:val="2"/>
        </w:numPr>
        <w:spacing w:after="80" w:line="300"/>
      </w:pPr>
      <w:r>
        <w:rPr>
          <w:rFonts w:ascii="Calibri" w:cs="Calibri" w:eastAsia="Calibri" w:hAnsi="Calibri"/>
          <w:sz w:val="22"/>
          <w:szCs w:val="22"/>
        </w:rPr>
        <w:t xml:space="preserve">Verification: Validate identity claims against authoritative databases (NIBSS BVN, NIMC NIN).</w:t>
      </w:r>
    </w:p>
    <w:p>
      <w:pPr>
        <w:pStyle w:val="ListParagraph"/>
        <w:numPr>
          <w:ilvl w:val="0"/>
          <w:numId w:val="2"/>
        </w:numPr>
        <w:spacing w:after="80" w:line="300"/>
      </w:pPr>
      <w:r>
        <w:rPr>
          <w:rFonts w:ascii="Calibri" w:cs="Calibri" w:eastAsia="Calibri" w:hAnsi="Calibri"/>
          <w:sz w:val="22"/>
          <w:szCs w:val="22"/>
        </w:rPr>
        <w:t xml:space="preserve">Proportionality: Apply CDD measures proportionate to the customer’s assessed risk.</w:t>
      </w:r>
    </w:p>
    <w:p>
      <w:pPr>
        <w:pStyle w:val="ListParagraph"/>
        <w:numPr>
          <w:ilvl w:val="0"/>
          <w:numId w:val="2"/>
        </w:numPr>
        <w:spacing w:after="80" w:line="300"/>
      </w:pPr>
      <w:r>
        <w:rPr>
          <w:rFonts w:ascii="Calibri" w:cs="Calibri" w:eastAsia="Calibri" w:hAnsi="Calibri"/>
          <w:sz w:val="22"/>
          <w:szCs w:val="22"/>
        </w:rPr>
        <w:t xml:space="preserve">Continuity: KYC is a continuous process; profiles are refreshed periodically and on trigger events.</w:t>
      </w:r>
    </w:p>
    <w:p>
      <w:pPr>
        <w:pStyle w:val="Heading1"/>
        <w:spacing w:after="200" w:before="360"/>
      </w:pPr>
      <w:r>
        <w:rPr>
          <w:rFonts w:ascii="Calibri" w:cs="Calibri" w:eastAsia="Calibri" w:hAnsi="Calibri"/>
          <w:b/>
          <w:bCs/>
          <w:color w:val="0F5C3A"/>
          <w:sz w:val="36"/>
          <w:szCs w:val="36"/>
        </w:rPr>
        <w:t xml:space="preserve">3. Onboarding Workflow</w:t>
      </w:r>
    </w:p>
    <w:p>
      <w:pPr>
        <w:spacing w:after="100" w:before="200"/>
      </w:pPr>
      <w:r>
        <w:rPr>
          <w:rFonts w:ascii="Calibri" w:cs="Calibri" w:eastAsia="Calibri" w:hAnsi="Calibri"/>
          <w:b/>
          <w:bCs/>
          <w:sz w:val="24"/>
          <w:szCs w:val="24"/>
        </w:rPr>
        <w:t xml:space="preserve">3.1 Account Registration</w:t>
      </w:r>
    </w:p>
    <w:p>
      <w:pPr>
        <w:pStyle w:val="ListParagraph"/>
        <w:numPr>
          <w:ilvl w:val="0"/>
          <w:numId w:val="2"/>
        </w:numPr>
        <w:spacing w:after="80" w:line="300"/>
      </w:pPr>
      <w:r>
        <w:rPr>
          <w:rFonts w:ascii="Calibri" w:cs="Calibri" w:eastAsia="Calibri" w:hAnsi="Calibri"/>
          <w:sz w:val="22"/>
          <w:szCs w:val="22"/>
        </w:rPr>
        <w:t xml:space="preserve">Customer provides verified email and Nigerian mobile number.</w:t>
      </w:r>
    </w:p>
    <w:p>
      <w:pPr>
        <w:pStyle w:val="ListParagraph"/>
        <w:numPr>
          <w:ilvl w:val="0"/>
          <w:numId w:val="2"/>
        </w:numPr>
        <w:spacing w:after="80" w:line="300"/>
      </w:pPr>
      <w:r>
        <w:rPr>
          <w:rFonts w:ascii="Calibri" w:cs="Calibri" w:eastAsia="Calibri" w:hAnsi="Calibri"/>
          <w:sz w:val="22"/>
          <w:szCs w:val="22"/>
        </w:rPr>
        <w:t xml:space="preserve">Email verification via secure one-time link (24-hour validity).</w:t>
      </w:r>
    </w:p>
    <w:p>
      <w:pPr>
        <w:pStyle w:val="ListParagraph"/>
        <w:numPr>
          <w:ilvl w:val="0"/>
          <w:numId w:val="2"/>
        </w:numPr>
        <w:spacing w:after="80" w:line="300"/>
      </w:pPr>
      <w:r>
        <w:rPr>
          <w:rFonts w:ascii="Calibri" w:cs="Calibri" w:eastAsia="Calibri" w:hAnsi="Calibri"/>
          <w:sz w:val="22"/>
          <w:szCs w:val="22"/>
        </w:rPr>
        <w:t xml:space="preserve">Optional referral code captured for downstream attribution.</w:t>
      </w:r>
    </w:p>
    <w:p>
      <w:pPr>
        <w:spacing w:after="100" w:before="200"/>
      </w:pPr>
      <w:r>
        <w:rPr>
          <w:rFonts w:ascii="Calibri" w:cs="Calibri" w:eastAsia="Calibri" w:hAnsi="Calibri"/>
          <w:b/>
          <w:bCs/>
          <w:sz w:val="24"/>
          <w:szCs w:val="24"/>
        </w:rPr>
        <w:t xml:space="preserve">3.2 Identity Capture (Tier 2)</w:t>
      </w:r>
    </w:p>
    <w:p>
      <w:pPr>
        <w:pStyle w:val="ListParagraph"/>
        <w:numPr>
          <w:ilvl w:val="0"/>
          <w:numId w:val="2"/>
        </w:numPr>
        <w:spacing w:after="80" w:line="300"/>
      </w:pPr>
      <w:r>
        <w:rPr>
          <w:rFonts w:ascii="Calibri" w:cs="Calibri" w:eastAsia="Calibri" w:hAnsi="Calibri"/>
          <w:sz w:val="22"/>
          <w:szCs w:val="22"/>
        </w:rPr>
        <w:t xml:space="preserve">Bank Verification Number (BVN) — matched to full legal name and date of birth via NIBSS.</w:t>
      </w:r>
    </w:p>
    <w:p>
      <w:pPr>
        <w:pStyle w:val="ListParagraph"/>
        <w:numPr>
          <w:ilvl w:val="0"/>
          <w:numId w:val="2"/>
        </w:numPr>
        <w:spacing w:after="80" w:line="300"/>
      </w:pPr>
      <w:r>
        <w:rPr>
          <w:rFonts w:ascii="Calibri" w:cs="Calibri" w:eastAsia="Calibri" w:hAnsi="Calibri"/>
          <w:sz w:val="22"/>
          <w:szCs w:val="22"/>
        </w:rPr>
        <w:t xml:space="preserve">National Identification Number (NIN) — verified via NIMC.</w:t>
      </w:r>
    </w:p>
    <w:p>
      <w:pPr>
        <w:pStyle w:val="ListParagraph"/>
        <w:numPr>
          <w:ilvl w:val="0"/>
          <w:numId w:val="2"/>
        </w:numPr>
        <w:spacing w:after="80" w:line="300"/>
      </w:pPr>
      <w:r>
        <w:rPr>
          <w:rFonts w:ascii="Calibri" w:cs="Calibri" w:eastAsia="Calibri" w:hAnsi="Calibri"/>
          <w:sz w:val="22"/>
          <w:szCs w:val="22"/>
        </w:rPr>
        <w:t xml:space="preserve">Selfie with liveness detection — matched to ID photo where available.</w:t>
      </w:r>
    </w:p>
    <w:p>
      <w:pPr>
        <w:spacing w:after="100" w:before="200"/>
      </w:pPr>
      <w:r>
        <w:rPr>
          <w:rFonts w:ascii="Calibri" w:cs="Calibri" w:eastAsia="Calibri" w:hAnsi="Calibri"/>
          <w:b/>
          <w:bCs/>
          <w:sz w:val="24"/>
          <w:szCs w:val="24"/>
        </w:rPr>
        <w:t xml:space="preserve">3.3 Address Verification (Tier 3)</w:t>
      </w:r>
    </w:p>
    <w:p>
      <w:pPr>
        <w:pStyle w:val="ListParagraph"/>
        <w:numPr>
          <w:ilvl w:val="0"/>
          <w:numId w:val="2"/>
        </w:numPr>
        <w:spacing w:after="80" w:line="300"/>
      </w:pPr>
      <w:r>
        <w:rPr>
          <w:rFonts w:ascii="Calibri" w:cs="Calibri" w:eastAsia="Calibri" w:hAnsi="Calibri"/>
          <w:sz w:val="22"/>
          <w:szCs w:val="22"/>
        </w:rPr>
        <w:t xml:space="preserve">Proof of residential address (utility bill, bank statement, or tenancy agreement) issued within the preceding 3 months.</w:t>
      </w:r>
    </w:p>
    <w:p>
      <w:pPr>
        <w:pStyle w:val="ListParagraph"/>
        <w:numPr>
          <w:ilvl w:val="0"/>
          <w:numId w:val="2"/>
        </w:numPr>
        <w:spacing w:after="80" w:line="300"/>
      </w:pPr>
      <w:r>
        <w:rPr>
          <w:rFonts w:ascii="Calibri" w:cs="Calibri" w:eastAsia="Calibri" w:hAnsi="Calibri"/>
          <w:sz w:val="22"/>
          <w:szCs w:val="22"/>
        </w:rPr>
        <w:t xml:space="preserve">Geo-tagged selfie at residential address may be accepted in lieu of utility bill, subject to compliance approval.</w:t>
      </w:r>
    </w:p>
    <w:p>
      <w:pPr>
        <w:spacing w:after="100" w:before="200"/>
      </w:pPr>
      <w:r>
        <w:rPr>
          <w:rFonts w:ascii="Calibri" w:cs="Calibri" w:eastAsia="Calibri" w:hAnsi="Calibri"/>
          <w:b/>
          <w:bCs/>
          <w:sz w:val="24"/>
          <w:szCs w:val="24"/>
        </w:rPr>
        <w:t xml:space="preserve">3.4 Bank Account Linking</w:t>
      </w:r>
    </w:p>
    <w:p>
      <w:pPr>
        <w:pStyle w:val="ListParagraph"/>
        <w:numPr>
          <w:ilvl w:val="0"/>
          <w:numId w:val="2"/>
        </w:numPr>
        <w:spacing w:after="80" w:line="300"/>
      </w:pPr>
      <w:r>
        <w:rPr>
          <w:rFonts w:ascii="Calibri" w:cs="Calibri" w:eastAsia="Calibri" w:hAnsi="Calibri"/>
          <w:sz w:val="22"/>
          <w:szCs w:val="22"/>
        </w:rPr>
        <w:t xml:space="preserve">Bank account name must match BVN-registered name. Mismatches trigger manual review.</w:t>
      </w:r>
    </w:p>
    <w:p>
      <w:pPr>
        <w:pStyle w:val="ListParagraph"/>
        <w:numPr>
          <w:ilvl w:val="0"/>
          <w:numId w:val="2"/>
        </w:numPr>
        <w:spacing w:after="80" w:line="300"/>
      </w:pPr>
      <w:r>
        <w:rPr>
          <w:rFonts w:ascii="Calibri" w:cs="Calibri" w:eastAsia="Calibri" w:hAnsi="Calibri"/>
          <w:sz w:val="22"/>
          <w:szCs w:val="22"/>
        </w:rPr>
        <w:t xml:space="preserve">Penny-drop validation performed before first withdrawal.</w:t>
      </w:r>
    </w:p>
    <w:p>
      <w:pPr>
        <w:pStyle w:val="Heading1"/>
        <w:spacing w:after="200" w:before="360"/>
      </w:pPr>
      <w:r>
        <w:rPr>
          <w:rFonts w:ascii="Calibri" w:cs="Calibri" w:eastAsia="Calibri" w:hAnsi="Calibri"/>
          <w:b/>
          <w:bCs/>
          <w:color w:val="0F5C3A"/>
          <w:sz w:val="36"/>
          <w:szCs w:val="36"/>
        </w:rPr>
        <w:t xml:space="preserve">4. Customer Risk Rating</w:t>
      </w:r>
    </w:p>
    <w:p>
      <w:pPr>
        <w:spacing w:after="120" w:line="320"/>
        <w:jc w:val="both"/>
      </w:pPr>
      <w:r>
        <w:rPr>
          <w:rFonts w:ascii="Calibri" w:cs="Calibri" w:eastAsia="Calibri" w:hAnsi="Calibri"/>
          <w:sz w:val="22"/>
          <w:szCs w:val="22"/>
        </w:rPr>
        <w:t xml:space="preserve">Each customer is automatically assigned an initial risk score during onboarding based on identity attributes, geography, occupation, and intended use of the platform. The risk score is recalculated on a rolling basis using behavioural and transaction data. Customers flagged as Medium or High risk receive Enhanced Due Diligence and additional monitoring.</w:t>
      </w:r>
    </w:p>
    <w:p>
      <w:pPr>
        <w:pStyle w:val="Heading1"/>
        <w:spacing w:after="200" w:before="360"/>
      </w:pPr>
      <w:r>
        <w:rPr>
          <w:rFonts w:ascii="Calibri" w:cs="Calibri" w:eastAsia="Calibri" w:hAnsi="Calibri"/>
          <w:b/>
          <w:bCs/>
          <w:color w:val="0F5C3A"/>
          <w:sz w:val="36"/>
          <w:szCs w:val="36"/>
        </w:rPr>
        <w:t xml:space="preserve">5. Enhanced Due Diligence (EDD)</w:t>
      </w:r>
    </w:p>
    <w:p>
      <w:pPr>
        <w:spacing w:after="120" w:line="320"/>
        <w:jc w:val="both"/>
      </w:pPr>
      <w:r>
        <w:rPr>
          <w:rFonts w:ascii="Calibri" w:cs="Calibri" w:eastAsia="Calibri" w:hAnsi="Calibri"/>
          <w:sz w:val="22"/>
          <w:szCs w:val="22"/>
        </w:rPr>
        <w:t xml:space="preserve">EDD is required for: Politically Exposed Persons; customers from FATF high-risk jurisdictions; users with adverse media findings; customers transacting above ₦5,000,000 in a single instance; customers managing association/group wallets with more than 20 members.</w:t>
      </w:r>
    </w:p>
    <w:p>
      <w:pPr>
        <w:pStyle w:val="ListParagraph"/>
        <w:numPr>
          <w:ilvl w:val="0"/>
          <w:numId w:val="2"/>
        </w:numPr>
        <w:spacing w:after="80" w:line="300"/>
      </w:pPr>
      <w:r>
        <w:rPr>
          <w:rFonts w:ascii="Calibri" w:cs="Calibri" w:eastAsia="Calibri" w:hAnsi="Calibri"/>
          <w:sz w:val="22"/>
          <w:szCs w:val="22"/>
        </w:rPr>
        <w:t xml:space="preserve">Source of funds and source of wealth declarations.</w:t>
      </w:r>
    </w:p>
    <w:p>
      <w:pPr>
        <w:pStyle w:val="ListParagraph"/>
        <w:numPr>
          <w:ilvl w:val="0"/>
          <w:numId w:val="2"/>
        </w:numPr>
        <w:spacing w:after="80" w:line="300"/>
      </w:pPr>
      <w:r>
        <w:rPr>
          <w:rFonts w:ascii="Calibri" w:cs="Calibri" w:eastAsia="Calibri" w:hAnsi="Calibri"/>
          <w:sz w:val="22"/>
          <w:szCs w:val="22"/>
        </w:rPr>
        <w:t xml:space="preserve">Documentary evidence of business activity for association admins.</w:t>
      </w:r>
    </w:p>
    <w:p>
      <w:pPr>
        <w:pStyle w:val="ListParagraph"/>
        <w:numPr>
          <w:ilvl w:val="0"/>
          <w:numId w:val="2"/>
        </w:numPr>
        <w:spacing w:after="80" w:line="300"/>
      </w:pPr>
      <w:r>
        <w:rPr>
          <w:rFonts w:ascii="Calibri" w:cs="Calibri" w:eastAsia="Calibri" w:hAnsi="Calibri"/>
          <w:sz w:val="22"/>
          <w:szCs w:val="22"/>
        </w:rPr>
        <w:t xml:space="preserve">Senior management sign-off prior to activation or limit upgrade.</w:t>
      </w:r>
    </w:p>
    <w:p>
      <w:pPr>
        <w:pStyle w:val="Heading1"/>
        <w:spacing w:after="200" w:before="360"/>
      </w:pPr>
      <w:r>
        <w:rPr>
          <w:rFonts w:ascii="Calibri" w:cs="Calibri" w:eastAsia="Calibri" w:hAnsi="Calibri"/>
          <w:b/>
          <w:bCs/>
          <w:color w:val="0F5C3A"/>
          <w:sz w:val="36"/>
          <w:szCs w:val="36"/>
        </w:rPr>
        <w:t xml:space="preserve">6. Group, Association &amp; Crowdfunding KYC</w:t>
      </w:r>
    </w:p>
    <w:p>
      <w:pPr>
        <w:pStyle w:val="ListParagraph"/>
        <w:numPr>
          <w:ilvl w:val="0"/>
          <w:numId w:val="2"/>
        </w:numPr>
        <w:spacing w:after="80" w:line="300"/>
      </w:pPr>
      <w:r>
        <w:rPr>
          <w:rFonts w:ascii="Calibri" w:cs="Calibri" w:eastAsia="Calibri" w:hAnsi="Calibri"/>
          <w:sz w:val="22"/>
          <w:szCs w:val="22"/>
        </w:rPr>
        <w:t xml:space="preserve">Group/Association admins undergo Tier-3 verification including ID of all executive members.</w:t>
      </w:r>
    </w:p>
    <w:p>
      <w:pPr>
        <w:pStyle w:val="ListParagraph"/>
        <w:numPr>
          <w:ilvl w:val="0"/>
          <w:numId w:val="2"/>
        </w:numPr>
        <w:spacing w:after="80" w:line="300"/>
      </w:pPr>
      <w:r>
        <w:rPr>
          <w:rFonts w:ascii="Calibri" w:cs="Calibri" w:eastAsia="Calibri" w:hAnsi="Calibri"/>
          <w:sz w:val="22"/>
          <w:szCs w:val="22"/>
        </w:rPr>
        <w:t xml:space="preserve">Associations must upload member signature register, formal request letter on association letterhead, and valid IDs of executives before approval.</w:t>
      </w:r>
    </w:p>
    <w:p>
      <w:pPr>
        <w:pStyle w:val="ListParagraph"/>
        <w:numPr>
          <w:ilvl w:val="0"/>
          <w:numId w:val="2"/>
        </w:numPr>
        <w:spacing w:after="80" w:line="300"/>
      </w:pPr>
      <w:r>
        <w:rPr>
          <w:rFonts w:ascii="Calibri" w:cs="Calibri" w:eastAsia="Calibri" w:hAnsi="Calibri"/>
          <w:sz w:val="22"/>
          <w:szCs w:val="22"/>
        </w:rPr>
        <w:t xml:space="preserve">Crowdfunding campaign owners are subject to enhanced beneficiary verification including bank account confirmation and purpose-of-funds attestation.</w:t>
      </w:r>
    </w:p>
    <w:p>
      <w:pPr>
        <w:pStyle w:val="Heading1"/>
        <w:spacing w:after="200" w:before="360"/>
      </w:pPr>
      <w:r>
        <w:rPr>
          <w:rFonts w:ascii="Calibri" w:cs="Calibri" w:eastAsia="Calibri" w:hAnsi="Calibri"/>
          <w:b/>
          <w:bCs/>
          <w:color w:val="0F5C3A"/>
          <w:sz w:val="36"/>
          <w:szCs w:val="36"/>
        </w:rPr>
        <w:t xml:space="preserve">7. Ongoing KYC Maintenance</w:t>
      </w:r>
    </w:p>
    <w:p>
      <w:pPr>
        <w:pStyle w:val="ListParagraph"/>
        <w:numPr>
          <w:ilvl w:val="0"/>
          <w:numId w:val="2"/>
        </w:numPr>
        <w:spacing w:after="80" w:line="300"/>
      </w:pPr>
      <w:r>
        <w:rPr>
          <w:rFonts w:ascii="Calibri" w:cs="Calibri" w:eastAsia="Calibri" w:hAnsi="Calibri"/>
          <w:sz w:val="22"/>
          <w:szCs w:val="22"/>
        </w:rPr>
        <w:t xml:space="preserve">Tier 1 customers refreshed every 24 months.</w:t>
      </w:r>
    </w:p>
    <w:p>
      <w:pPr>
        <w:pStyle w:val="ListParagraph"/>
        <w:numPr>
          <w:ilvl w:val="0"/>
          <w:numId w:val="2"/>
        </w:numPr>
        <w:spacing w:after="80" w:line="300"/>
      </w:pPr>
      <w:r>
        <w:rPr>
          <w:rFonts w:ascii="Calibri" w:cs="Calibri" w:eastAsia="Calibri" w:hAnsi="Calibri"/>
          <w:sz w:val="22"/>
          <w:szCs w:val="22"/>
        </w:rPr>
        <w:t xml:space="preserve">Tier 2 customers refreshed every 18 months.</w:t>
      </w:r>
    </w:p>
    <w:p>
      <w:pPr>
        <w:pStyle w:val="ListParagraph"/>
        <w:numPr>
          <w:ilvl w:val="0"/>
          <w:numId w:val="2"/>
        </w:numPr>
        <w:spacing w:after="80" w:line="300"/>
      </w:pPr>
      <w:r>
        <w:rPr>
          <w:rFonts w:ascii="Calibri" w:cs="Calibri" w:eastAsia="Calibri" w:hAnsi="Calibri"/>
          <w:sz w:val="22"/>
          <w:szCs w:val="22"/>
        </w:rPr>
        <w:t xml:space="preserve">Tier 3 and High-Risk customers refreshed every 12 months or upon trigger events (limit upgrade, jurisdiction change, sanctions hit, adverse media).</w:t>
      </w:r>
    </w:p>
    <w:p>
      <w:pPr>
        <w:pStyle w:val="Heading1"/>
        <w:spacing w:after="200" w:before="360"/>
      </w:pPr>
      <w:r>
        <w:rPr>
          <w:rFonts w:ascii="Calibri" w:cs="Calibri" w:eastAsia="Calibri" w:hAnsi="Calibri"/>
          <w:b/>
          <w:bCs/>
          <w:color w:val="0F5C3A"/>
          <w:sz w:val="36"/>
          <w:szCs w:val="36"/>
        </w:rPr>
        <w:t xml:space="preserve">8. Data Privacy &amp; Protection</w:t>
      </w:r>
    </w:p>
    <w:p>
      <w:pPr>
        <w:spacing w:after="120" w:line="320"/>
        <w:jc w:val="both"/>
      </w:pPr>
      <w:r>
        <w:rPr>
          <w:rFonts w:ascii="Calibri" w:cs="Calibri" w:eastAsia="Calibri" w:hAnsi="Calibri"/>
          <w:sz w:val="22"/>
          <w:szCs w:val="22"/>
        </w:rPr>
        <w:t xml:space="preserve">All personal data collected during KYC is processed lawfully, fairly, and transparently in line with the NDPA 2023. Sensitive identifiers (BVN, NIN, bank account numbers) are encrypted at rest using AES-256 and in transit using TLS 1.3. Access is restricted on a need-to-know basis and logged in immutable audit trails.</w:t>
      </w:r>
    </w:p>
    <w:p>
      <w:pPr>
        <w:pStyle w:val="Heading1"/>
        <w:spacing w:after="200" w:before="360"/>
      </w:pPr>
      <w:r>
        <w:rPr>
          <w:rFonts w:ascii="Calibri" w:cs="Calibri" w:eastAsia="Calibri" w:hAnsi="Calibri"/>
          <w:b/>
          <w:bCs/>
          <w:color w:val="0F5C3A"/>
          <w:sz w:val="36"/>
          <w:szCs w:val="36"/>
        </w:rPr>
        <w:t xml:space="preserve">9. Customer Rights</w:t>
      </w:r>
    </w:p>
    <w:p>
      <w:pPr>
        <w:pStyle w:val="ListParagraph"/>
        <w:numPr>
          <w:ilvl w:val="0"/>
          <w:numId w:val="2"/>
        </w:numPr>
        <w:spacing w:after="80" w:line="300"/>
      </w:pPr>
      <w:r>
        <w:rPr>
          <w:rFonts w:ascii="Calibri" w:cs="Calibri" w:eastAsia="Calibri" w:hAnsi="Calibri"/>
          <w:sz w:val="22"/>
          <w:szCs w:val="22"/>
        </w:rPr>
        <w:t xml:space="preserve">Right to access personal data held by Wesave.</w:t>
      </w:r>
    </w:p>
    <w:p>
      <w:pPr>
        <w:pStyle w:val="ListParagraph"/>
        <w:numPr>
          <w:ilvl w:val="0"/>
          <w:numId w:val="2"/>
        </w:numPr>
        <w:spacing w:after="80" w:line="300"/>
      </w:pPr>
      <w:r>
        <w:rPr>
          <w:rFonts w:ascii="Calibri" w:cs="Calibri" w:eastAsia="Calibri" w:hAnsi="Calibri"/>
          <w:sz w:val="22"/>
          <w:szCs w:val="22"/>
        </w:rPr>
        <w:t xml:space="preserve">Right to request rectification of inaccurate data.</w:t>
      </w:r>
    </w:p>
    <w:p>
      <w:pPr>
        <w:pStyle w:val="ListParagraph"/>
        <w:numPr>
          <w:ilvl w:val="0"/>
          <w:numId w:val="2"/>
        </w:numPr>
        <w:spacing w:after="80" w:line="300"/>
      </w:pPr>
      <w:r>
        <w:rPr>
          <w:rFonts w:ascii="Calibri" w:cs="Calibri" w:eastAsia="Calibri" w:hAnsi="Calibri"/>
          <w:sz w:val="22"/>
          <w:szCs w:val="22"/>
        </w:rPr>
        <w:t xml:space="preserve">Right to data portability where technically feasible.</w:t>
      </w:r>
    </w:p>
    <w:p>
      <w:pPr>
        <w:pStyle w:val="ListParagraph"/>
        <w:numPr>
          <w:ilvl w:val="0"/>
          <w:numId w:val="2"/>
        </w:numPr>
        <w:spacing w:after="80" w:line="300"/>
      </w:pPr>
      <w:r>
        <w:rPr>
          <w:rFonts w:ascii="Calibri" w:cs="Calibri" w:eastAsia="Calibri" w:hAnsi="Calibri"/>
          <w:sz w:val="22"/>
          <w:szCs w:val="22"/>
        </w:rPr>
        <w:t xml:space="preserve">Right to lodge complaints with the Nigeria Data Protection Commission (NDPC).</w:t>
      </w:r>
    </w:p>
    <w:p>
      <w:pPr>
        <w:pStyle w:val="Heading1"/>
        <w:spacing w:after="200" w:before="360"/>
      </w:pPr>
      <w:r>
        <w:rPr>
          <w:rFonts w:ascii="Calibri" w:cs="Calibri" w:eastAsia="Calibri" w:hAnsi="Calibri"/>
          <w:b/>
          <w:bCs/>
          <w:color w:val="0F5C3A"/>
          <w:sz w:val="36"/>
          <w:szCs w:val="36"/>
        </w:rPr>
        <w:t xml:space="preserve">10. Refusal &amp; Termination</w:t>
      </w:r>
    </w:p>
    <w:p>
      <w:pPr>
        <w:spacing w:after="120" w:line="320"/>
        <w:jc w:val="both"/>
      </w:pPr>
      <w:r>
        <w:rPr>
          <w:rFonts w:ascii="Calibri" w:cs="Calibri" w:eastAsia="Calibri" w:hAnsi="Calibri"/>
          <w:sz w:val="22"/>
          <w:szCs w:val="22"/>
        </w:rPr>
        <w:t xml:space="preserve">Wesave reserves the right to decline onboarding or terminate an existing relationship where KYC requirements cannot be satisfied, where false information is detected, or where continued service would breach this policy or applicable law. Affected customers are notified in writing where lawful to do so.</w:t>
      </w:r>
    </w:p>
    <w:p>
      <w:pPr>
        <w:pStyle w:val="Heading1"/>
        <w:spacing w:after="200" w:before="360"/>
      </w:pPr>
      <w:r>
        <w:rPr>
          <w:rFonts w:ascii="Calibri" w:cs="Calibri" w:eastAsia="Calibri" w:hAnsi="Calibri"/>
          <w:b/>
          <w:bCs/>
          <w:color w:val="0F5C3A"/>
          <w:sz w:val="36"/>
          <w:szCs w:val="36"/>
        </w:rPr>
        <w:t xml:space="preserve">11. Outsourced Verification Providers</w:t>
      </w:r>
    </w:p>
    <w:p>
      <w:pPr>
        <w:spacing w:after="120" w:line="320"/>
        <w:jc w:val="both"/>
      </w:pPr>
      <w:r>
        <w:rPr>
          <w:rFonts w:ascii="Calibri" w:cs="Calibri" w:eastAsia="Calibri" w:hAnsi="Calibri"/>
          <w:sz w:val="22"/>
          <w:szCs w:val="22"/>
        </w:rPr>
        <w:t xml:space="preserve">Wesave may rely on regulated third-party providers (NIBSS, NIMC, VFD MFB, identity verification vendors) to perform aspects of KYC. Such reliance does not transfer responsibility — Wesave remains ultimately accountable for KYC outcomes.</w:t>
      </w:r>
    </w:p>
    <w:p>
      <w:pPr>
        <w:pStyle w:val="Heading1"/>
        <w:spacing w:after="200" w:before="360"/>
      </w:pPr>
      <w:r>
        <w:rPr>
          <w:rFonts w:ascii="Calibri" w:cs="Calibri" w:eastAsia="Calibri" w:hAnsi="Calibri"/>
          <w:b/>
          <w:bCs/>
          <w:color w:val="0F5C3A"/>
          <w:sz w:val="36"/>
          <w:szCs w:val="36"/>
        </w:rPr>
        <w:t xml:space="preserve">12. Governance &amp; Review</w:t>
      </w:r>
    </w:p>
    <w:p>
      <w:pPr>
        <w:spacing w:after="120" w:line="320"/>
        <w:jc w:val="both"/>
      </w:pPr>
      <w:r>
        <w:rPr>
          <w:rFonts w:ascii="Calibri" w:cs="Calibri" w:eastAsia="Calibri" w:hAnsi="Calibri"/>
          <w:sz w:val="22"/>
          <w:szCs w:val="22"/>
        </w:rPr>
        <w:t xml:space="preserve">This policy is owned by the Chief Compliance Officer and reviewed annually. Material changes require Board approval. Operational procedures supporting this policy (Standard Operating Procedures for onboarding agents, escalation matrices, manual-review checklists) are maintained as living documents under version control.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8"/>
        <w:szCs w:val="18"/>
      </w:rPr>
      <w:t xml:space="preserve">KYC Onboarding Policy  •  v1.0</w:t>
    </w:r>
    <w:r>
      <w:rPr>
        <w:rFonts w:ascii="Calibri" w:cs="Calibri" w:eastAsia="Calibri" w:hAnsi="Calibri"/>
        <w:color w:val="555555"/>
        <w:sz w:val="18"/>
        <w:szCs w:val="18"/>
      </w:rPr>
      <w:t xml:space="preserve">	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8"/>
        <w:szCs w:val="18"/>
      </w:rPr>
      <w:t xml:space="preserve">WeSave  |  LLH Premium Enterprise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KYC Onboarding Policy</dc:title>
  <dc:creator>LLH Premium Enterprise</dc:creator>
  <dc:description>Wesave Platform — Operated by LLH Premium Enterprise</dc:description>
  <cp:lastModifiedBy>Un-named</cp:lastModifiedBy>
  <cp:revision>1</cp:revision>
  <dcterms:created xsi:type="dcterms:W3CDTF">2026-04-23T09:40:46.292Z</dcterms:created>
  <dcterms:modified xsi:type="dcterms:W3CDTF">2026-04-23T09:40:46.292Z</dcterms:modified>
</cp:coreProperties>
</file>

<file path=docProps/custom.xml><?xml version="1.0" encoding="utf-8"?>
<Properties xmlns="http://schemas.openxmlformats.org/officeDocument/2006/custom-properties" xmlns:vt="http://schemas.openxmlformats.org/officeDocument/2006/docPropsVTypes"/>
</file>