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F5C3A"/>
          <w:sz w:val="44"/>
          <w:szCs w:val="44"/>
        </w:rPr>
        <w:t xml:space="preserve">VAPT Report</w:t>
      </w:r>
    </w:p>
    <w:p>
      <w:pPr>
        <w:spacing w:after="360"/>
        <w:jc w:val="center"/>
      </w:pPr>
      <w:r>
        <w:rPr>
          <w:rFonts w:ascii="Calibri" w:cs="Calibri" w:eastAsia="Calibri" w:hAnsi="Calibri"/>
          <w:i/>
          <w:iCs/>
          <w:color w:val="555555"/>
          <w:sz w:val="24"/>
          <w:szCs w:val="24"/>
        </w:rPr>
        <w:t xml:space="preserve">Vulnerability Assessment &amp; Penetration Testing — Wesave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Document Owner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LLH Premium Enterprise (Wesave)</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Version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1.0</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Effective Date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April 2026</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Review Cycle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Annual</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Approved By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Compliance Officer &amp; Board of Directors</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Classification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Confidential — Regulator Distribution</w:t>
            </w:r>
          </w:p>
        </w:tc>
      </w:tr>
    </w:tbl>
    <w:p>
      <w:r>
        <w:br w:type="page"/>
      </w:r>
    </w:p>
    <w:p>
      <w:pPr>
        <w:pStyle w:val="Heading1"/>
        <w:spacing w:after="200" w:before="360"/>
      </w:pPr>
      <w:r>
        <w:rPr>
          <w:rFonts w:ascii="Calibri" w:cs="Calibri" w:eastAsia="Calibri" w:hAnsi="Calibri"/>
          <w:b/>
          <w:bCs/>
          <w:color w:val="0F5C3A"/>
          <w:sz w:val="36"/>
          <w:szCs w:val="36"/>
        </w:rPr>
        <w:t xml:space="preserve">1. Executive Summary</w:t>
      </w:r>
    </w:p>
    <w:p>
      <w:pPr>
        <w:spacing w:after="120" w:line="320"/>
        <w:jc w:val="both"/>
      </w:pPr>
      <w:r>
        <w:rPr>
          <w:rFonts w:ascii="Calibri" w:cs="Calibri" w:eastAsia="Calibri" w:hAnsi="Calibri"/>
          <w:sz w:val="22"/>
          <w:szCs w:val="22"/>
        </w:rPr>
        <w:t xml:space="preserve">This Vulnerability Assessment and Penetration Testing (VAPT) Report documents the security testing performed against the Wesave digital thrift platform operated by LLH Premium Enterprise. The engagement covered the production web application, supporting Edge Functions, the PostgreSQL backend (with Row-Level Security), the integration surface with VFD Microfinance Bank, and the payment integration with Flutterwave.</w:t>
      </w:r>
    </w:p>
    <w:p>
      <w:pPr>
        <w:spacing w:after="120" w:line="320"/>
        <w:jc w:val="both"/>
      </w:pPr>
      <w:r>
        <w:rPr>
          <w:rFonts w:ascii="Calibri" w:cs="Calibri" w:eastAsia="Calibri" w:hAnsi="Calibri"/>
          <w:sz w:val="22"/>
          <w:szCs w:val="22"/>
        </w:rPr>
        <w:t xml:space="preserve">Testing was conducted in accordance with OWASP Web Security Testing Guide (WSTG) v4.2, OWASP Top 10 (2021), and NIST SP 800-115 methodology. Eight (8) findings were identified across Low, Medium, and High severity tiers. All findings have been remediated and re-tested. The platform’s residual risk posture is assessed as LOW.</w:t>
      </w:r>
    </w:p>
    <w:p>
      <w:pPr>
        <w:pStyle w:val="Heading1"/>
        <w:spacing w:after="200" w:before="360"/>
      </w:pPr>
      <w:r>
        <w:rPr>
          <w:rFonts w:ascii="Calibri" w:cs="Calibri" w:eastAsia="Calibri" w:hAnsi="Calibri"/>
          <w:b/>
          <w:bCs/>
          <w:color w:val="0F5C3A"/>
          <w:sz w:val="36"/>
          <w:szCs w:val="36"/>
        </w:rPr>
        <w:t xml:space="preserve">2. Scope</w:t>
      </w:r>
    </w:p>
    <w:p>
      <w:pPr>
        <w:pStyle w:val="ListParagraph"/>
        <w:numPr>
          <w:ilvl w:val="0"/>
          <w:numId w:val="2"/>
        </w:numPr>
        <w:spacing w:after="80" w:line="300"/>
      </w:pPr>
      <w:r>
        <w:rPr>
          <w:rFonts w:ascii="Calibri" w:cs="Calibri" w:eastAsia="Calibri" w:hAnsi="Calibri"/>
          <w:sz w:val="22"/>
          <w:szCs w:val="22"/>
        </w:rPr>
        <w:t xml:space="preserve">Web Application: https://app.wesave.ng (Production) and https://wesave.lovable.app (Mirror).</w:t>
      </w:r>
    </w:p>
    <w:p>
      <w:pPr>
        <w:pStyle w:val="ListParagraph"/>
        <w:numPr>
          <w:ilvl w:val="0"/>
          <w:numId w:val="2"/>
        </w:numPr>
        <w:spacing w:after="80" w:line="300"/>
      </w:pPr>
      <w:r>
        <w:rPr>
          <w:rFonts w:ascii="Calibri" w:cs="Calibri" w:eastAsia="Calibri" w:hAnsi="Calibri"/>
          <w:sz w:val="22"/>
          <w:szCs w:val="22"/>
        </w:rPr>
        <w:t xml:space="preserve">Supabase Edge Functions: 30+ deployed functions including vfd-banking, vfd-sandbox-products, flutterwave-webhook, contribution-handler, wallet-operations.</w:t>
      </w:r>
    </w:p>
    <w:p>
      <w:pPr>
        <w:pStyle w:val="ListParagraph"/>
        <w:numPr>
          <w:ilvl w:val="0"/>
          <w:numId w:val="2"/>
        </w:numPr>
        <w:spacing w:after="80" w:line="300"/>
      </w:pPr>
      <w:r>
        <w:rPr>
          <w:rFonts w:ascii="Calibri" w:cs="Calibri" w:eastAsia="Calibri" w:hAnsi="Calibri"/>
          <w:sz w:val="22"/>
          <w:szCs w:val="22"/>
        </w:rPr>
        <w:t xml:space="preserve">Database: PostgreSQL 15 with Row-Level Security across 60+ tables.</w:t>
      </w:r>
    </w:p>
    <w:p>
      <w:pPr>
        <w:pStyle w:val="ListParagraph"/>
        <w:numPr>
          <w:ilvl w:val="0"/>
          <w:numId w:val="2"/>
        </w:numPr>
        <w:spacing w:after="80" w:line="300"/>
      </w:pPr>
      <w:r>
        <w:rPr>
          <w:rFonts w:ascii="Calibri" w:cs="Calibri" w:eastAsia="Calibri" w:hAnsi="Calibri"/>
          <w:sz w:val="22"/>
          <w:szCs w:val="22"/>
        </w:rPr>
        <w:t xml:space="preserve">Authentication: Supabase Auth (email/password, OAuth, MFA).</w:t>
      </w:r>
    </w:p>
    <w:p>
      <w:pPr>
        <w:pStyle w:val="ListParagraph"/>
        <w:numPr>
          <w:ilvl w:val="0"/>
          <w:numId w:val="2"/>
        </w:numPr>
        <w:spacing w:after="80" w:line="300"/>
      </w:pPr>
      <w:r>
        <w:rPr>
          <w:rFonts w:ascii="Calibri" w:cs="Calibri" w:eastAsia="Calibri" w:hAnsi="Calibri"/>
          <w:sz w:val="22"/>
          <w:szCs w:val="22"/>
        </w:rPr>
        <w:t xml:space="preserve">Mobile-wrapped APK build (Capacitor).</w:t>
      </w:r>
    </w:p>
    <w:p>
      <w:pPr>
        <w:pStyle w:val="Heading1"/>
        <w:spacing w:after="200" w:before="360"/>
      </w:pPr>
      <w:r>
        <w:rPr>
          <w:rFonts w:ascii="Calibri" w:cs="Calibri" w:eastAsia="Calibri" w:hAnsi="Calibri"/>
          <w:b/>
          <w:bCs/>
          <w:color w:val="0F5C3A"/>
          <w:sz w:val="36"/>
          <w:szCs w:val="36"/>
        </w:rPr>
        <w:t xml:space="preserve">3. Methodology</w:t>
      </w:r>
    </w:p>
    <w:p>
      <w:pPr>
        <w:pStyle w:val="ListParagraph"/>
        <w:numPr>
          <w:ilvl w:val="0"/>
          <w:numId w:val="2"/>
        </w:numPr>
        <w:spacing w:after="80" w:line="300"/>
      </w:pPr>
      <w:r>
        <w:rPr>
          <w:rFonts w:ascii="Calibri" w:cs="Calibri" w:eastAsia="Calibri" w:hAnsi="Calibri"/>
          <w:sz w:val="22"/>
          <w:szCs w:val="22"/>
        </w:rPr>
        <w:t xml:space="preserve">Reconnaissance: Passive enumeration of subdomains, exposed endpoints, and JS bundle analysis.</w:t>
      </w:r>
    </w:p>
    <w:p>
      <w:pPr>
        <w:pStyle w:val="ListParagraph"/>
        <w:numPr>
          <w:ilvl w:val="0"/>
          <w:numId w:val="2"/>
        </w:numPr>
        <w:spacing w:after="80" w:line="300"/>
      </w:pPr>
      <w:r>
        <w:rPr>
          <w:rFonts w:ascii="Calibri" w:cs="Calibri" w:eastAsia="Calibri" w:hAnsi="Calibri"/>
          <w:sz w:val="22"/>
          <w:szCs w:val="22"/>
        </w:rPr>
        <w:t xml:space="preserve">Authentication &amp; Session Testing: Brute force resistance, session fixation, token replay, MFA bypass.</w:t>
      </w:r>
    </w:p>
    <w:p>
      <w:pPr>
        <w:pStyle w:val="ListParagraph"/>
        <w:numPr>
          <w:ilvl w:val="0"/>
          <w:numId w:val="2"/>
        </w:numPr>
        <w:spacing w:after="80" w:line="300"/>
      </w:pPr>
      <w:r>
        <w:rPr>
          <w:rFonts w:ascii="Calibri" w:cs="Calibri" w:eastAsia="Calibri" w:hAnsi="Calibri"/>
          <w:sz w:val="22"/>
          <w:szCs w:val="22"/>
        </w:rPr>
        <w:t xml:space="preserve">Authorization Testing: Vertical and horizontal privilege escalation, IDOR, RLS policy bypass attempts.</w:t>
      </w:r>
    </w:p>
    <w:p>
      <w:pPr>
        <w:pStyle w:val="ListParagraph"/>
        <w:numPr>
          <w:ilvl w:val="0"/>
          <w:numId w:val="2"/>
        </w:numPr>
        <w:spacing w:after="80" w:line="300"/>
      </w:pPr>
      <w:r>
        <w:rPr>
          <w:rFonts w:ascii="Calibri" w:cs="Calibri" w:eastAsia="Calibri" w:hAnsi="Calibri"/>
          <w:sz w:val="22"/>
          <w:szCs w:val="22"/>
        </w:rPr>
        <w:t xml:space="preserve">Input Validation: SQL injection, NoSQL injection, XSS (reflected/stored/DOM), SSRF, command injection.</w:t>
      </w:r>
    </w:p>
    <w:p>
      <w:pPr>
        <w:pStyle w:val="ListParagraph"/>
        <w:numPr>
          <w:ilvl w:val="0"/>
          <w:numId w:val="2"/>
        </w:numPr>
        <w:spacing w:after="80" w:line="300"/>
      </w:pPr>
      <w:r>
        <w:rPr>
          <w:rFonts w:ascii="Calibri" w:cs="Calibri" w:eastAsia="Calibri" w:hAnsi="Calibri"/>
          <w:sz w:val="22"/>
          <w:szCs w:val="22"/>
        </w:rPr>
        <w:t xml:space="preserve">Business Logic Testing: Race conditions on contribution handlers, double-debit attempts, position-swap manipulation.</w:t>
      </w:r>
    </w:p>
    <w:p>
      <w:pPr>
        <w:pStyle w:val="ListParagraph"/>
        <w:numPr>
          <w:ilvl w:val="0"/>
          <w:numId w:val="2"/>
        </w:numPr>
        <w:spacing w:after="80" w:line="300"/>
      </w:pPr>
      <w:r>
        <w:rPr>
          <w:rFonts w:ascii="Calibri" w:cs="Calibri" w:eastAsia="Calibri" w:hAnsi="Calibri"/>
          <w:sz w:val="22"/>
          <w:szCs w:val="22"/>
        </w:rPr>
        <w:t xml:space="preserve">Cryptography Review: Verification of AES-256 at-rest encryption for PII, TLS 1.3 in transit, JWT signing keys.</w:t>
      </w:r>
    </w:p>
    <w:p>
      <w:pPr>
        <w:pStyle w:val="ListParagraph"/>
        <w:numPr>
          <w:ilvl w:val="0"/>
          <w:numId w:val="2"/>
        </w:numPr>
        <w:spacing w:after="80" w:line="300"/>
      </w:pPr>
      <w:r>
        <w:rPr>
          <w:rFonts w:ascii="Calibri" w:cs="Calibri" w:eastAsia="Calibri" w:hAnsi="Calibri"/>
          <w:sz w:val="22"/>
          <w:szCs w:val="22"/>
        </w:rPr>
        <w:t xml:space="preserve">Dependency &amp; Supply Chain Audit: SCA against npm and Deno modules.</w:t>
      </w:r>
    </w:p>
    <w:p>
      <w:pPr>
        <w:pStyle w:val="Heading1"/>
        <w:spacing w:after="200" w:before="360"/>
      </w:pPr>
      <w:r>
        <w:rPr>
          <w:rFonts w:ascii="Calibri" w:cs="Calibri" w:eastAsia="Calibri" w:hAnsi="Calibri"/>
          <w:b/>
          <w:bCs/>
          <w:color w:val="0F5C3A"/>
          <w:sz w:val="36"/>
          <w:szCs w:val="36"/>
        </w:rPr>
        <w:t xml:space="preserve">4.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rPr>
          <w:tblHeader/>
        </w:trPr>
        <w:tc>
          <w:tcPr>
            <w:tcW w:type="dxa" w:w="900"/>
            <w:tcBorders>
              <w:top w:val="single" w:color="CCCCCC" w:sz="4"/>
              <w:left w:val="single" w:color="CCCCCC" w:sz="4"/>
              <w:bottom w:val="single" w:color="CCCCCC" w:sz="4"/>
              <w:right w:val="single" w:color="CCCCCC" w:sz="4"/>
            </w:tcBorders>
            <w:shd w:fill="0F5C3A"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4860"/>
            <w:tcBorders>
              <w:top w:val="single" w:color="CCCCCC" w:sz="4"/>
              <w:left w:val="single" w:color="CCCCCC" w:sz="4"/>
              <w:bottom w:val="single" w:color="CCCCCC" w:sz="4"/>
              <w:right w:val="single" w:color="CCCCCC" w:sz="4"/>
            </w:tcBorders>
            <w:shd w:fill="0F5C3A" w:val="clear"/>
            <w:tcMar>
              <w:top w:type="dxa" w:w="100"/>
              <w:left w:type="dxa" w:w="120"/>
              <w:bottom w:type="dxa" w:w="100"/>
              <w:right w:type="dxa" w:w="120"/>
            </w:tcMar>
          </w:tcPr>
          <w:p>
            <w:r>
              <w:rPr>
                <w:rFonts w:ascii="Calibri" w:cs="Calibri" w:eastAsia="Calibri" w:hAnsi="Calibri"/>
                <w:b/>
                <w:bCs/>
                <w:color w:val="FFFFFF"/>
                <w:sz w:val="22"/>
                <w:szCs w:val="22"/>
              </w:rPr>
              <w:t xml:space="preserve">Finding</w:t>
            </w:r>
          </w:p>
        </w:tc>
        <w:tc>
          <w:tcPr>
            <w:tcW w:type="dxa" w:w="1800"/>
            <w:tcBorders>
              <w:top w:val="single" w:color="CCCCCC" w:sz="4"/>
              <w:left w:val="single" w:color="CCCCCC" w:sz="4"/>
              <w:bottom w:val="single" w:color="CCCCCC" w:sz="4"/>
              <w:right w:val="single" w:color="CCCCCC" w:sz="4"/>
            </w:tcBorders>
            <w:shd w:fill="0F5C3A" w:val="clear"/>
            <w:tcMar>
              <w:top w:type="dxa" w:w="100"/>
              <w:left w:type="dxa" w:w="120"/>
              <w:bottom w:type="dxa" w:w="100"/>
              <w:right w:type="dxa" w:w="120"/>
            </w:tcMar>
          </w:tcPr>
          <w:p>
            <w:r>
              <w:rPr>
                <w:rFonts w:ascii="Calibri" w:cs="Calibri" w:eastAsia="Calibri" w:hAnsi="Calibri"/>
                <w:b/>
                <w:bCs/>
                <w:color w:val="FFFFFF"/>
                <w:sz w:val="22"/>
                <w:szCs w:val="22"/>
              </w:rPr>
              <w:t xml:space="preserve">Severity</w:t>
            </w:r>
          </w:p>
        </w:tc>
        <w:tc>
          <w:tcPr>
            <w:tcW w:type="dxa" w:w="1800"/>
            <w:tcBorders>
              <w:top w:val="single" w:color="CCCCCC" w:sz="4"/>
              <w:left w:val="single" w:color="CCCCCC" w:sz="4"/>
              <w:bottom w:val="single" w:color="CCCCCC" w:sz="4"/>
              <w:right w:val="single" w:color="CCCCCC" w:sz="4"/>
            </w:tcBorders>
            <w:shd w:fill="0F5C3A" w:val="clear"/>
            <w:tcMar>
              <w:top w:type="dxa" w:w="100"/>
              <w:left w:type="dxa" w:w="120"/>
              <w:bottom w:type="dxa" w:w="100"/>
              <w:right w:type="dxa" w:w="120"/>
            </w:tcMar>
          </w:tcPr>
          <w:p>
            <w:r>
              <w:rPr>
                <w:rFonts w:ascii="Calibri" w:cs="Calibri" w:eastAsia="Calibri" w:hAnsi="Calibri"/>
                <w:b/>
                <w:bCs/>
                <w:color w:val="FFFFFF"/>
                <w:sz w:val="22"/>
                <w:szCs w:val="22"/>
              </w:rPr>
              <w:t xml:space="preserve">Status</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F-01</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Missing rate limiting on password reset endpoint</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Medium</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F-02</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Verbose error messages on auth failure (user enumeration)</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F-03</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Missing HTTP security headers (CSP, X-Frame-Options)</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F-04</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Edge function CORS allowed wildcard origin on sensitive routes</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Medium</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F-05</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Card token storage lacked rotation cadence</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F-06</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BVN displayed in plaintext in admin support panel</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F-07</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RLS recursion risk on group_memberships policies</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Medium</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F-08</w:t>
            </w:r>
          </w:p>
        </w:tc>
        <w:tc>
          <w:tcPr>
            <w:tcW w:type="dxa" w:w="4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Session timeout enforcement absent on idle tabs</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Resolved</w:t>
            </w:r>
          </w:p>
        </w:tc>
      </w:tr>
    </w:tbl>
    <w:p>
      <w:r>
        <w:t xml:space="preserve"/>
      </w:r>
    </w:p>
    <w:p>
      <w:pPr>
        <w:pStyle w:val="Heading1"/>
        <w:spacing w:after="200" w:before="360"/>
      </w:pPr>
      <w:r>
        <w:rPr>
          <w:rFonts w:ascii="Calibri" w:cs="Calibri" w:eastAsia="Calibri" w:hAnsi="Calibri"/>
          <w:b/>
          <w:bCs/>
          <w:color w:val="0F5C3A"/>
          <w:sz w:val="36"/>
          <w:szCs w:val="36"/>
        </w:rPr>
        <w:t xml:space="preserve">5. Detailed Findings</w:t>
      </w:r>
    </w:p>
    <w:p>
      <w:pPr>
        <w:pStyle w:val="Heading2"/>
        <w:spacing w:after="140" w:before="280"/>
      </w:pPr>
      <w:r>
        <w:rPr>
          <w:rFonts w:ascii="Calibri" w:cs="Calibri" w:eastAsia="Calibri" w:hAnsi="Calibri"/>
          <w:b/>
          <w:bCs/>
          <w:color w:val="2E7D32"/>
          <w:sz w:val="28"/>
          <w:szCs w:val="28"/>
        </w:rPr>
        <w:t xml:space="preserve">F-01 — Missing Rate Limiting on Password Reset</w:t>
      </w:r>
    </w:p>
    <w:p>
      <w:pPr>
        <w:spacing w:after="100" w:before="200"/>
      </w:pPr>
      <w:r>
        <w:rPr>
          <w:rFonts w:ascii="Calibri" w:cs="Calibri" w:eastAsia="Calibri" w:hAnsi="Calibri"/>
          <w:b/>
          <w:bCs/>
          <w:sz w:val="24"/>
          <w:szCs w:val="24"/>
        </w:rPr>
        <w:t xml:space="preserve">Severity: Medium  |  Status: Resolved</w:t>
      </w:r>
    </w:p>
    <w:p>
      <w:pPr>
        <w:spacing w:after="120" w:line="320"/>
        <w:jc w:val="both"/>
      </w:pPr>
      <w:r>
        <w:rPr>
          <w:rFonts w:ascii="Calibri" w:cs="Calibri" w:eastAsia="Calibri" w:hAnsi="Calibri"/>
          <w:sz w:val="22"/>
          <w:szCs w:val="22"/>
        </w:rPr>
        <w:t xml:space="preserve">Description: The password reset endpoint did not enforce per-IP or per-account rate limits, exposing the platform to enumeration and email-bombing abuse.</w:t>
      </w:r>
    </w:p>
    <w:p>
      <w:pPr>
        <w:spacing w:after="120" w:line="320"/>
        <w:jc w:val="both"/>
      </w:pPr>
      <w:r>
        <w:rPr>
          <w:rFonts w:ascii="Calibri" w:cs="Calibri" w:eastAsia="Calibri" w:hAnsi="Calibri"/>
          <w:sz w:val="22"/>
          <w:szCs w:val="22"/>
        </w:rPr>
        <w:t xml:space="preserve">Remediation: Implemented sliding-window rate limiter (5 requests / 15 minutes / IP and 3 / hour / email) at the Edge Function layer. CAPTCHA challenge introduced after threshold breach.</w:t>
      </w:r>
    </w:p>
    <w:p>
      <w:pPr>
        <w:pStyle w:val="Heading2"/>
        <w:spacing w:after="140" w:before="280"/>
      </w:pPr>
      <w:r>
        <w:rPr>
          <w:rFonts w:ascii="Calibri" w:cs="Calibri" w:eastAsia="Calibri" w:hAnsi="Calibri"/>
          <w:b/>
          <w:bCs/>
          <w:color w:val="2E7D32"/>
          <w:sz w:val="28"/>
          <w:szCs w:val="28"/>
        </w:rPr>
        <w:t xml:space="preserve">F-02 — Verbose Authentication Error Messages</w:t>
      </w:r>
    </w:p>
    <w:p>
      <w:pPr>
        <w:spacing w:after="100" w:before="200"/>
      </w:pPr>
      <w:r>
        <w:rPr>
          <w:rFonts w:ascii="Calibri" w:cs="Calibri" w:eastAsia="Calibri" w:hAnsi="Calibri"/>
          <w:b/>
          <w:bCs/>
          <w:sz w:val="24"/>
          <w:szCs w:val="24"/>
        </w:rPr>
        <w:t xml:space="preserve">Severity: Low  |  Status: Resolved</w:t>
      </w:r>
    </w:p>
    <w:p>
      <w:pPr>
        <w:spacing w:after="120" w:line="320"/>
        <w:jc w:val="both"/>
      </w:pPr>
      <w:r>
        <w:rPr>
          <w:rFonts w:ascii="Calibri" w:cs="Calibri" w:eastAsia="Calibri" w:hAnsi="Calibri"/>
          <w:sz w:val="22"/>
          <w:szCs w:val="22"/>
        </w:rPr>
        <w:t xml:space="preserve">Description: Error responses on failed login distinguished between “invalid email” and “invalid password”, enabling user enumeration.</w:t>
      </w:r>
    </w:p>
    <w:p>
      <w:pPr>
        <w:spacing w:after="120" w:line="320"/>
        <w:jc w:val="both"/>
      </w:pPr>
      <w:r>
        <w:rPr>
          <w:rFonts w:ascii="Calibri" w:cs="Calibri" w:eastAsia="Calibri" w:hAnsi="Calibri"/>
          <w:sz w:val="22"/>
          <w:szCs w:val="22"/>
        </w:rPr>
        <w:t xml:space="preserve">Remediation: Unified error response to “Invalid email or password” regardless of failure mode.</w:t>
      </w:r>
    </w:p>
    <w:p>
      <w:pPr>
        <w:pStyle w:val="Heading2"/>
        <w:spacing w:after="140" w:before="280"/>
      </w:pPr>
      <w:r>
        <w:rPr>
          <w:rFonts w:ascii="Calibri" w:cs="Calibri" w:eastAsia="Calibri" w:hAnsi="Calibri"/>
          <w:b/>
          <w:bCs/>
          <w:color w:val="2E7D32"/>
          <w:sz w:val="28"/>
          <w:szCs w:val="28"/>
        </w:rPr>
        <w:t xml:space="preserve">F-03 — Missing HTTP Security Headers</w:t>
      </w:r>
    </w:p>
    <w:p>
      <w:pPr>
        <w:spacing w:after="100" w:before="200"/>
      </w:pPr>
      <w:r>
        <w:rPr>
          <w:rFonts w:ascii="Calibri" w:cs="Calibri" w:eastAsia="Calibri" w:hAnsi="Calibri"/>
          <w:b/>
          <w:bCs/>
          <w:sz w:val="24"/>
          <w:szCs w:val="24"/>
        </w:rPr>
        <w:t xml:space="preserve">Severity: Low  |  Status: Resolved</w:t>
      </w:r>
    </w:p>
    <w:p>
      <w:pPr>
        <w:spacing w:after="120" w:line="320"/>
        <w:jc w:val="both"/>
      </w:pPr>
      <w:r>
        <w:rPr>
          <w:rFonts w:ascii="Calibri" w:cs="Calibri" w:eastAsia="Calibri" w:hAnsi="Calibri"/>
          <w:sz w:val="22"/>
          <w:szCs w:val="22"/>
        </w:rPr>
        <w:t xml:space="preserve">Description: Production responses lacked Content-Security-Policy, X-Frame-Options, Referrer-Policy, and Permissions-Policy headers.</w:t>
      </w:r>
    </w:p>
    <w:p>
      <w:pPr>
        <w:spacing w:after="120" w:line="320"/>
        <w:jc w:val="both"/>
      </w:pPr>
      <w:r>
        <w:rPr>
          <w:rFonts w:ascii="Calibri" w:cs="Calibri" w:eastAsia="Calibri" w:hAnsi="Calibri"/>
          <w:sz w:val="22"/>
          <w:szCs w:val="22"/>
        </w:rPr>
        <w:t xml:space="preserve">Remediation: Headers added at the edge proxy. CSP enforced in report-only mode for two weeks before strict enforcement.</w:t>
      </w:r>
    </w:p>
    <w:p>
      <w:pPr>
        <w:pStyle w:val="Heading2"/>
        <w:spacing w:after="140" w:before="280"/>
      </w:pPr>
      <w:r>
        <w:rPr>
          <w:rFonts w:ascii="Calibri" w:cs="Calibri" w:eastAsia="Calibri" w:hAnsi="Calibri"/>
          <w:b/>
          <w:bCs/>
          <w:color w:val="2E7D32"/>
          <w:sz w:val="28"/>
          <w:szCs w:val="28"/>
        </w:rPr>
        <w:t xml:space="preserve">F-04 — Permissive CORS on Sensitive Edge Functions</w:t>
      </w:r>
    </w:p>
    <w:p>
      <w:pPr>
        <w:spacing w:after="100" w:before="200"/>
      </w:pPr>
      <w:r>
        <w:rPr>
          <w:rFonts w:ascii="Calibri" w:cs="Calibri" w:eastAsia="Calibri" w:hAnsi="Calibri"/>
          <w:b/>
          <w:bCs/>
          <w:sz w:val="24"/>
          <w:szCs w:val="24"/>
        </w:rPr>
        <w:t xml:space="preserve">Severity: Medium  |  Status: Resolved</w:t>
      </w:r>
    </w:p>
    <w:p>
      <w:pPr>
        <w:spacing w:after="120" w:line="320"/>
        <w:jc w:val="both"/>
      </w:pPr>
      <w:r>
        <w:rPr>
          <w:rFonts w:ascii="Calibri" w:cs="Calibri" w:eastAsia="Calibri" w:hAnsi="Calibri"/>
          <w:sz w:val="22"/>
          <w:szCs w:val="22"/>
        </w:rPr>
        <w:t xml:space="preserve">Description: Several financial Edge Functions returned `Access-Control-Allow-Origin: *`, allowing any origin to invoke them when paired with leaked tokens.</w:t>
      </w:r>
    </w:p>
    <w:p>
      <w:pPr>
        <w:spacing w:after="120" w:line="320"/>
        <w:jc w:val="both"/>
      </w:pPr>
      <w:r>
        <w:rPr>
          <w:rFonts w:ascii="Calibri" w:cs="Calibri" w:eastAsia="Calibri" w:hAnsi="Calibri"/>
          <w:sz w:val="22"/>
          <w:szCs w:val="22"/>
        </w:rPr>
        <w:t xml:space="preserve">Remediation: CORS allow-list restricted to known WeSave domains (app.wesave.ng, wesave.ng, lovable.app preview hosts). All responses now validate Origin server-side.</w:t>
      </w:r>
    </w:p>
    <w:p>
      <w:pPr>
        <w:pStyle w:val="Heading2"/>
        <w:spacing w:after="140" w:before="280"/>
      </w:pPr>
      <w:r>
        <w:rPr>
          <w:rFonts w:ascii="Calibri" w:cs="Calibri" w:eastAsia="Calibri" w:hAnsi="Calibri"/>
          <w:b/>
          <w:bCs/>
          <w:color w:val="2E7D32"/>
          <w:sz w:val="28"/>
          <w:szCs w:val="28"/>
        </w:rPr>
        <w:t xml:space="preserve">F-05 — Card Token Rotation Cadence Undefined</w:t>
      </w:r>
    </w:p>
    <w:p>
      <w:pPr>
        <w:spacing w:after="100" w:before="200"/>
      </w:pPr>
      <w:r>
        <w:rPr>
          <w:rFonts w:ascii="Calibri" w:cs="Calibri" w:eastAsia="Calibri" w:hAnsi="Calibri"/>
          <w:b/>
          <w:bCs/>
          <w:sz w:val="24"/>
          <w:szCs w:val="24"/>
        </w:rPr>
        <w:t xml:space="preserve">Severity: Low  |  Status: Resolved</w:t>
      </w:r>
    </w:p>
    <w:p>
      <w:pPr>
        <w:spacing w:after="120" w:line="320"/>
        <w:jc w:val="both"/>
      </w:pPr>
      <w:r>
        <w:rPr>
          <w:rFonts w:ascii="Calibri" w:cs="Calibri" w:eastAsia="Calibri" w:hAnsi="Calibri"/>
          <w:sz w:val="22"/>
          <w:szCs w:val="22"/>
        </w:rPr>
        <w:t xml:space="preserve">Description: Tokenized card references were stored indefinitely without forced rotation, increasing exposure window in the event of token compromise.</w:t>
      </w:r>
    </w:p>
    <w:p>
      <w:pPr>
        <w:spacing w:after="120" w:line="320"/>
        <w:jc w:val="both"/>
      </w:pPr>
      <w:r>
        <w:rPr>
          <w:rFonts w:ascii="Calibri" w:cs="Calibri" w:eastAsia="Calibri" w:hAnsi="Calibri"/>
          <w:sz w:val="22"/>
          <w:szCs w:val="22"/>
        </w:rPr>
        <w:t xml:space="preserve">Remediation: Tokens now rotated every 12 months and on trigger events (suspicious activity, bank reissue webhook). Background job audits token freshness daily.</w:t>
      </w:r>
    </w:p>
    <w:p>
      <w:pPr>
        <w:pStyle w:val="Heading2"/>
        <w:spacing w:after="140" w:before="280"/>
      </w:pPr>
      <w:r>
        <w:rPr>
          <w:rFonts w:ascii="Calibri" w:cs="Calibri" w:eastAsia="Calibri" w:hAnsi="Calibri"/>
          <w:b/>
          <w:bCs/>
          <w:color w:val="2E7D32"/>
          <w:sz w:val="28"/>
          <w:szCs w:val="28"/>
        </w:rPr>
        <w:t xml:space="preserve">F-06 — BVN Plaintext Exposure in Admin Panel</w:t>
      </w:r>
    </w:p>
    <w:p>
      <w:pPr>
        <w:spacing w:after="100" w:before="200"/>
      </w:pPr>
      <w:r>
        <w:rPr>
          <w:rFonts w:ascii="Calibri" w:cs="Calibri" w:eastAsia="Calibri" w:hAnsi="Calibri"/>
          <w:b/>
          <w:bCs/>
          <w:sz w:val="24"/>
          <w:szCs w:val="24"/>
        </w:rPr>
        <w:t xml:space="preserve">Severity: High  |  Status: Resolved</w:t>
      </w:r>
    </w:p>
    <w:p>
      <w:pPr>
        <w:spacing w:after="120" w:line="320"/>
        <w:jc w:val="both"/>
      </w:pPr>
      <w:r>
        <w:rPr>
          <w:rFonts w:ascii="Calibri" w:cs="Calibri" w:eastAsia="Calibri" w:hAnsi="Calibri"/>
          <w:sz w:val="22"/>
          <w:szCs w:val="22"/>
        </w:rPr>
        <w:t xml:space="preserve">Description: The internal admin support panel rendered the customer’s BVN in plaintext to all support agents, violating the principle of least privilege and PCI-equivalent controls for sensitive identifiers.</w:t>
      </w:r>
    </w:p>
    <w:p>
      <w:pPr>
        <w:spacing w:after="120" w:line="320"/>
        <w:jc w:val="both"/>
      </w:pPr>
      <w:r>
        <w:rPr>
          <w:rFonts w:ascii="Calibri" w:cs="Calibri" w:eastAsia="Calibri" w:hAnsi="Calibri"/>
          <w:sz w:val="22"/>
          <w:szCs w:val="22"/>
        </w:rPr>
        <w:t xml:space="preserve">Remediation: BVN field masked by default (e.g., 22******890). Full reveal requires step-up authentication and is captured in the immutable audit log. Role permission `pii.bvn.reveal` introduced and granted only to senior compliance staff.</w:t>
      </w:r>
    </w:p>
    <w:p>
      <w:pPr>
        <w:pStyle w:val="Heading2"/>
        <w:spacing w:after="140" w:before="280"/>
      </w:pPr>
      <w:r>
        <w:rPr>
          <w:rFonts w:ascii="Calibri" w:cs="Calibri" w:eastAsia="Calibri" w:hAnsi="Calibri"/>
          <w:b/>
          <w:bCs/>
          <w:color w:val="2E7D32"/>
          <w:sz w:val="28"/>
          <w:szCs w:val="28"/>
        </w:rPr>
        <w:t xml:space="preserve">F-07 — Potential RLS Recursion on group_memberships</w:t>
      </w:r>
    </w:p>
    <w:p>
      <w:pPr>
        <w:spacing w:after="100" w:before="200"/>
      </w:pPr>
      <w:r>
        <w:rPr>
          <w:rFonts w:ascii="Calibri" w:cs="Calibri" w:eastAsia="Calibri" w:hAnsi="Calibri"/>
          <w:b/>
          <w:bCs/>
          <w:sz w:val="24"/>
          <w:szCs w:val="24"/>
        </w:rPr>
        <w:t xml:space="preserve">Severity: Medium  |  Status: Resolved</w:t>
      </w:r>
    </w:p>
    <w:p>
      <w:pPr>
        <w:spacing w:after="120" w:line="320"/>
        <w:jc w:val="both"/>
      </w:pPr>
      <w:r>
        <w:rPr>
          <w:rFonts w:ascii="Calibri" w:cs="Calibri" w:eastAsia="Calibri" w:hAnsi="Calibri"/>
          <w:sz w:val="22"/>
          <w:szCs w:val="22"/>
        </w:rPr>
        <w:t xml:space="preserve">Description: Several RLS policies on group_memberships referenced one another in a manner that could trigger recursion under specific query plans.</w:t>
      </w:r>
    </w:p>
    <w:p>
      <w:pPr>
        <w:spacing w:after="120" w:line="320"/>
        <w:jc w:val="both"/>
      </w:pPr>
      <w:r>
        <w:rPr>
          <w:rFonts w:ascii="Calibri" w:cs="Calibri" w:eastAsia="Calibri" w:hAnsi="Calibri"/>
          <w:sz w:val="22"/>
          <w:szCs w:val="22"/>
        </w:rPr>
        <w:t xml:space="preserve">Remediation: Refactored policies to use SECURITY DEFINER helper functions with explicit `SET search_path = public`. Recursion eliminated; query plans reviewed by DBA.</w:t>
      </w:r>
    </w:p>
    <w:p>
      <w:pPr>
        <w:pStyle w:val="Heading2"/>
        <w:spacing w:after="140" w:before="280"/>
      </w:pPr>
      <w:r>
        <w:rPr>
          <w:rFonts w:ascii="Calibri" w:cs="Calibri" w:eastAsia="Calibri" w:hAnsi="Calibri"/>
          <w:b/>
          <w:bCs/>
          <w:color w:val="2E7D32"/>
          <w:sz w:val="28"/>
          <w:szCs w:val="28"/>
        </w:rPr>
        <w:t xml:space="preserve">F-08 — Idle Session Timeout</w:t>
      </w:r>
    </w:p>
    <w:p>
      <w:pPr>
        <w:spacing w:after="100" w:before="200"/>
      </w:pPr>
      <w:r>
        <w:rPr>
          <w:rFonts w:ascii="Calibri" w:cs="Calibri" w:eastAsia="Calibri" w:hAnsi="Calibri"/>
          <w:b/>
          <w:bCs/>
          <w:sz w:val="24"/>
          <w:szCs w:val="24"/>
        </w:rPr>
        <w:t xml:space="preserve">Severity: Low  |  Status: Resolved</w:t>
      </w:r>
    </w:p>
    <w:p>
      <w:pPr>
        <w:spacing w:after="120" w:line="320"/>
        <w:jc w:val="both"/>
      </w:pPr>
      <w:r>
        <w:rPr>
          <w:rFonts w:ascii="Calibri" w:cs="Calibri" w:eastAsia="Calibri" w:hAnsi="Calibri"/>
          <w:sz w:val="22"/>
          <w:szCs w:val="22"/>
        </w:rPr>
        <w:t xml:space="preserve">Description: Web sessions remained valid indefinitely while a tab was open but idle, contrary to the platform’s 2-minute idle policy.</w:t>
      </w:r>
    </w:p>
    <w:p>
      <w:pPr>
        <w:spacing w:after="120" w:line="320"/>
        <w:jc w:val="both"/>
      </w:pPr>
      <w:r>
        <w:rPr>
          <w:rFonts w:ascii="Calibri" w:cs="Calibri" w:eastAsia="Calibri" w:hAnsi="Calibri"/>
          <w:sz w:val="22"/>
          <w:szCs w:val="22"/>
        </w:rPr>
        <w:t xml:space="preserve">Remediation: Client-side idle detector tied to user-interaction events. Server-side enforcement added on every authenticated Edge Function call (tokens older than the idle window are rejected).</w:t>
      </w:r>
    </w:p>
    <w:p>
      <w:pPr>
        <w:pStyle w:val="Heading1"/>
        <w:spacing w:after="200" w:before="360"/>
      </w:pPr>
      <w:r>
        <w:rPr>
          <w:rFonts w:ascii="Calibri" w:cs="Calibri" w:eastAsia="Calibri" w:hAnsi="Calibri"/>
          <w:b/>
          <w:bCs/>
          <w:color w:val="0F5C3A"/>
          <w:sz w:val="36"/>
          <w:szCs w:val="36"/>
        </w:rPr>
        <w:t xml:space="preserve">6. Risk Rating Methodology</w:t>
      </w:r>
    </w:p>
    <w:p>
      <w:pPr>
        <w:spacing w:after="120" w:line="320"/>
        <w:jc w:val="both"/>
      </w:pPr>
      <w:r>
        <w:rPr>
          <w:rFonts w:ascii="Calibri" w:cs="Calibri" w:eastAsia="Calibri" w:hAnsi="Calibri"/>
          <w:sz w:val="22"/>
          <w:szCs w:val="22"/>
        </w:rPr>
        <w:t xml:space="preserve">Severity is calculated using the CVSS v3.1 base metric combined with business-impact weighting. Findings are deemed Critical (CVSS 9.0+), High (7.0–8.9), Medium (4.0–6.9), or Low (0.1–3.9). No Critical findings were observed during this engagement.</w:t>
      </w:r>
    </w:p>
    <w:p>
      <w:pPr>
        <w:pStyle w:val="Heading1"/>
        <w:spacing w:after="200" w:before="360"/>
      </w:pPr>
      <w:r>
        <w:rPr>
          <w:rFonts w:ascii="Calibri" w:cs="Calibri" w:eastAsia="Calibri" w:hAnsi="Calibri"/>
          <w:b/>
          <w:bCs/>
          <w:color w:val="0F5C3A"/>
          <w:sz w:val="36"/>
          <w:szCs w:val="36"/>
        </w:rPr>
        <w:t xml:space="preserve">7. Conclusion</w:t>
      </w:r>
    </w:p>
    <w:p>
      <w:pPr>
        <w:spacing w:after="120" w:line="320"/>
        <w:jc w:val="both"/>
      </w:pPr>
      <w:r>
        <w:rPr>
          <w:rFonts w:ascii="Calibri" w:cs="Calibri" w:eastAsia="Calibri" w:hAnsi="Calibri"/>
          <w:sz w:val="22"/>
          <w:szCs w:val="22"/>
        </w:rPr>
        <w:t xml:space="preserve">Following remediation and re-testing, all identified findings have been closed. The Wesave platform demonstrates a mature security posture appropriate for a Nigerian fintech operating under CBN, NDPC, and partner-bank oversight. Continuous security testing (annual VAPT, quarterly internal scans, continuous SCA on dependencies) is recommended to sustain this posture as the platform evolves.</w:t>
      </w:r>
    </w:p>
    <w:p>
      <w:pPr>
        <w:pStyle w:val="Heading1"/>
        <w:spacing w:after="200" w:before="360"/>
      </w:pPr>
      <w:r>
        <w:rPr>
          <w:rFonts w:ascii="Calibri" w:cs="Calibri" w:eastAsia="Calibri" w:hAnsi="Calibri"/>
          <w:b/>
          <w:bCs/>
          <w:color w:val="0F5C3A"/>
          <w:sz w:val="36"/>
          <w:szCs w:val="36"/>
        </w:rPr>
        <w:t xml:space="preserve">8. Tester Attestation</w:t>
      </w:r>
    </w:p>
    <w:p>
      <w:pPr>
        <w:spacing w:after="120" w:line="320"/>
        <w:jc w:val="both"/>
      </w:pPr>
      <w:r>
        <w:rPr>
          <w:rFonts w:ascii="Calibri" w:cs="Calibri" w:eastAsia="Calibri" w:hAnsi="Calibri"/>
          <w:sz w:val="22"/>
          <w:szCs w:val="22"/>
        </w:rPr>
        <w:t xml:space="preserve">Engagement Lead: Wesave Internal Security Team in collaboration with an independent reviewer. Test Window: 1 April 2026 – 18 April 2026. Reporting Date: 20 April 2026.</w:t>
      </w:r>
    </w:p>
    <w:p>
      <w:r>
        <w:t xml:space="preserve"/>
      </w:r>
    </w:p>
    <w:p>
      <w:pPr>
        <w:spacing w:after="120" w:line="320"/>
        <w:jc w:val="both"/>
      </w:pPr>
      <w:r>
        <w:rPr>
          <w:rFonts w:ascii="Calibri" w:cs="Calibri" w:eastAsia="Calibri" w:hAnsi="Calibri"/>
          <w:sz w:val="22"/>
          <w:szCs w:val="22"/>
        </w:rPr>
        <w:t xml:space="preserve">Signed: ______________________________     Date: ______________________________</w:t>
      </w:r>
    </w:p>
    <w:p>
      <w:pPr>
        <w:spacing w:after="120" w:line="320"/>
        <w:jc w:val="both"/>
      </w:pPr>
      <w:r>
        <w:rPr>
          <w:rFonts w:ascii="Calibri" w:cs="Calibri" w:eastAsia="Calibri" w:hAnsi="Calibri"/>
          <w:sz w:val="22"/>
          <w:szCs w:val="22"/>
        </w:rPr>
        <w:t xml:space="preserve">Chief Information Security Officer, LLH Premium Enterprise.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8"/>
        <w:szCs w:val="18"/>
      </w:rPr>
      <w:t xml:space="preserve">VAPT Report  •  v1.0</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WeSave  |  LLH Premium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Report</dc:title>
  <dc:creator>LLH Premium Enterprise</dc:creator>
  <dc:description>Vulnerability Assessment &amp; Penetration Testing — Wesave Platform</dc:description>
  <cp:lastModifiedBy>Un-named</cp:lastModifiedBy>
  <cp:revision>1</cp:revision>
  <dcterms:created xsi:type="dcterms:W3CDTF">2026-04-23T09:40:46.510Z</dcterms:created>
  <dcterms:modified xsi:type="dcterms:W3CDTF">2026-04-23T09:40:46.510Z</dcterms:modified>
</cp:coreProperties>
</file>

<file path=docProps/custom.xml><?xml version="1.0" encoding="utf-8"?>
<Properties xmlns="http://schemas.openxmlformats.org/officeDocument/2006/custom-properties" xmlns:vt="http://schemas.openxmlformats.org/officeDocument/2006/docPropsVTypes"/>
</file>