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0A" w:rsidRDefault="00DB7D7C">
      <w:r>
        <w:t>Tutorial Notes</w:t>
      </w:r>
    </w:p>
    <w:p w:rsidR="00110C75" w:rsidRDefault="00110C75" w:rsidP="00110C75">
      <w:pPr>
        <w:pStyle w:val="ListParagraph"/>
        <w:numPr>
          <w:ilvl w:val="0"/>
          <w:numId w:val="2"/>
        </w:numPr>
      </w:pPr>
      <w:r>
        <w:t>38,160 instances (rows)</w:t>
      </w:r>
    </w:p>
    <w:p w:rsidR="00DB7D7C" w:rsidRDefault="00110C75" w:rsidP="00110C75">
      <w:pPr>
        <w:pStyle w:val="ListParagraph"/>
        <w:numPr>
          <w:ilvl w:val="0"/>
          <w:numId w:val="2"/>
        </w:numPr>
      </w:pPr>
      <w:r>
        <w:t>20 attributes</w:t>
      </w:r>
    </w:p>
    <w:p w:rsidR="00110C75" w:rsidRDefault="00110C75" w:rsidP="00110C75">
      <w:pPr>
        <w:pStyle w:val="ListParagraph"/>
        <w:numPr>
          <w:ilvl w:val="0"/>
          <w:numId w:val="2"/>
        </w:numPr>
      </w:pPr>
      <w:r>
        <w:t>1 class/target feature (</w:t>
      </w:r>
      <w:r>
        <w:t xml:space="preserve">column </w:t>
      </w:r>
      <w:proofErr w:type="spellStart"/>
      <w:r>
        <w:t>contam_code</w:t>
      </w:r>
      <w:proofErr w:type="spellEnd"/>
      <w:r>
        <w:t>)</w:t>
      </w:r>
    </w:p>
    <w:p w:rsidR="00110C75" w:rsidRDefault="00110C75" w:rsidP="00110C75">
      <w:pPr>
        <w:pStyle w:val="ListParagraph"/>
        <w:numPr>
          <w:ilvl w:val="0"/>
          <w:numId w:val="2"/>
        </w:numPr>
      </w:pPr>
      <w:proofErr w:type="spellStart"/>
      <w:r>
        <w:t>obscuredA.arff</w:t>
      </w:r>
      <w:proofErr w:type="spellEnd"/>
      <w:r>
        <w:t xml:space="preserve"> and </w:t>
      </w:r>
      <w:proofErr w:type="spellStart"/>
      <w:r>
        <w:t>obscuredB.arff</w:t>
      </w:r>
      <w:proofErr w:type="spellEnd"/>
      <w:r>
        <w:t xml:space="preserve"> are identical except the final column has been randomly shuffled</w:t>
      </w:r>
    </w:p>
    <w:p w:rsidR="00E30F54" w:rsidRDefault="00E30F54" w:rsidP="00110C75">
      <w:pPr>
        <w:pStyle w:val="ListParagraph"/>
        <w:numPr>
          <w:ilvl w:val="0"/>
          <w:numId w:val="2"/>
        </w:numPr>
      </w:pPr>
      <w:r>
        <w:t>Confusion matrix can be used to see whether your model is biased toward certain classes.</w:t>
      </w:r>
    </w:p>
    <w:p w:rsidR="00E30F54" w:rsidRDefault="00E30F54" w:rsidP="00110C75">
      <w:pPr>
        <w:pStyle w:val="ListParagraph"/>
        <w:numPr>
          <w:ilvl w:val="0"/>
          <w:numId w:val="2"/>
        </w:numPr>
      </w:pPr>
    </w:p>
    <w:p w:rsidR="00110C75" w:rsidRDefault="005B7CC5" w:rsidP="00F82427">
      <w:r>
        <w:t>How can you tell there is a signal?</w:t>
      </w:r>
    </w:p>
    <w:p w:rsidR="005B7CC5" w:rsidRDefault="005B7CC5" w:rsidP="005B7CC5">
      <w:pPr>
        <w:pStyle w:val="ListParagraph"/>
        <w:numPr>
          <w:ilvl w:val="0"/>
          <w:numId w:val="4"/>
        </w:numPr>
      </w:pPr>
      <w:r>
        <w:t>Train</w:t>
      </w:r>
      <w:r w:rsidRPr="005B7CC5">
        <w:t xml:space="preserve"> a model (e</w:t>
      </w:r>
      <w:r>
        <w:t>.</w:t>
      </w:r>
      <w:r w:rsidRPr="005B7CC5">
        <w:t>g. decision tree, neural net etc) that is more accurate than just looking at the majority class</w:t>
      </w:r>
    </w:p>
    <w:p w:rsidR="005B7CC5" w:rsidRDefault="00AF6127" w:rsidP="005B7CC5">
      <w:pPr>
        <w:pStyle w:val="ListParagraph"/>
        <w:numPr>
          <w:ilvl w:val="0"/>
          <w:numId w:val="4"/>
        </w:numPr>
      </w:pPr>
      <w:r>
        <w:t>L</w:t>
      </w:r>
      <w:r w:rsidRPr="00AF6127">
        <w:t>ook</w:t>
      </w:r>
      <w:r>
        <w:t xml:space="preserve"> </w:t>
      </w:r>
      <w:r w:rsidRPr="00AF6127">
        <w:t>at the confusion matrix and seeing if the model just classifies everything under the majority class</w:t>
      </w:r>
    </w:p>
    <w:p w:rsidR="00AF6127" w:rsidRDefault="00820004" w:rsidP="005B7CC5">
      <w:pPr>
        <w:pStyle w:val="ListParagraph"/>
        <w:numPr>
          <w:ilvl w:val="0"/>
          <w:numId w:val="4"/>
        </w:numPr>
      </w:pPr>
      <w:r w:rsidRPr="00820004">
        <w:t xml:space="preserve">If you build a decision tree and find that the attributes are </w:t>
      </w:r>
      <w:r w:rsidR="00E30F54" w:rsidRPr="00820004">
        <w:t>being</w:t>
      </w:r>
      <w:r w:rsidRPr="00820004">
        <w:t xml:space="preserve"> used</w:t>
      </w:r>
    </w:p>
    <w:p w:rsidR="00F82427" w:rsidRDefault="00F82427" w:rsidP="00F82427">
      <w:pPr>
        <w:pStyle w:val="ListParagraph"/>
        <w:numPr>
          <w:ilvl w:val="0"/>
          <w:numId w:val="4"/>
        </w:numPr>
      </w:pPr>
    </w:p>
    <w:p w:rsidR="00F82427" w:rsidRDefault="00F82427" w:rsidP="00F82427"/>
    <w:p w:rsidR="00F82427" w:rsidRDefault="00F82427" w:rsidP="00F82427">
      <w:r>
        <w:t>Techniques:</w:t>
      </w:r>
    </w:p>
    <w:p w:rsidR="00F82427" w:rsidRDefault="00F82427" w:rsidP="00F82427">
      <w:pPr>
        <w:pStyle w:val="ListParagraph"/>
        <w:numPr>
          <w:ilvl w:val="0"/>
          <w:numId w:val="3"/>
        </w:numPr>
      </w:pPr>
      <w:r>
        <w:t xml:space="preserve">Majority class as a baseline </w:t>
      </w:r>
    </w:p>
    <w:p w:rsidR="00F82427" w:rsidRDefault="00820004" w:rsidP="00F82427">
      <w:pPr>
        <w:pStyle w:val="ListParagraph"/>
        <w:numPr>
          <w:ilvl w:val="0"/>
          <w:numId w:val="3"/>
        </w:numPr>
      </w:pPr>
      <w:r>
        <w:t>Use 10</w:t>
      </w:r>
      <w:r w:rsidR="009D4137">
        <w:t>-</w:t>
      </w:r>
      <w:r>
        <w:t>fold cross validation</w:t>
      </w:r>
    </w:p>
    <w:p w:rsidR="00820004" w:rsidRDefault="00E97386" w:rsidP="00F82427">
      <w:pPr>
        <w:pStyle w:val="ListParagraph"/>
        <w:numPr>
          <w:ilvl w:val="0"/>
          <w:numId w:val="3"/>
        </w:numPr>
      </w:pPr>
      <w:r>
        <w:t>Confusion matrix comparison</w:t>
      </w:r>
    </w:p>
    <w:p w:rsidR="00E97386" w:rsidRDefault="00E97386" w:rsidP="00E97386"/>
    <w:p w:rsidR="009209E5" w:rsidRDefault="009209E5" w:rsidP="00E97386"/>
    <w:p w:rsidR="009209E5" w:rsidRDefault="009209E5" w:rsidP="00E97386"/>
    <w:p w:rsidR="009209E5" w:rsidRDefault="009209E5" w:rsidP="00E97386"/>
    <w:p w:rsidR="009209E5" w:rsidRDefault="009209E5" w:rsidP="00E97386"/>
    <w:p w:rsidR="009209E5" w:rsidRDefault="009209E5" w:rsidP="00E97386"/>
    <w:p w:rsidR="009209E5" w:rsidRDefault="009209E5" w:rsidP="00E97386"/>
    <w:p w:rsidR="009209E5" w:rsidRDefault="009209E5" w:rsidP="00E97386"/>
    <w:p w:rsidR="009209E5" w:rsidRDefault="009209E5" w:rsidP="00E97386"/>
    <w:p w:rsidR="009209E5" w:rsidRDefault="009209E5" w:rsidP="00E97386"/>
    <w:p w:rsidR="009209E5" w:rsidRDefault="009209E5" w:rsidP="00E97386"/>
    <w:p w:rsidR="009209E5" w:rsidRDefault="009209E5" w:rsidP="00E97386"/>
    <w:p w:rsidR="009209E5" w:rsidRDefault="009209E5" w:rsidP="00E97386"/>
    <w:p w:rsidR="009209E5" w:rsidRDefault="009209E5" w:rsidP="00E97386"/>
    <w:p w:rsidR="009209E5" w:rsidRDefault="009209E5" w:rsidP="00E97386"/>
    <w:p w:rsidR="009209E5" w:rsidRPr="009209E5" w:rsidRDefault="009209E5" w:rsidP="00E97386">
      <w:pPr>
        <w:rPr>
          <w:b/>
        </w:rPr>
      </w:pPr>
      <w:r w:rsidRPr="009209E5">
        <w:rPr>
          <w:b/>
        </w:rPr>
        <w:lastRenderedPageBreak/>
        <w:t>Results</w:t>
      </w:r>
    </w:p>
    <w:p w:rsidR="00E97386" w:rsidRDefault="00E97386" w:rsidP="00E97386">
      <w:r>
        <w:t>Confusion Matrix Comparison</w:t>
      </w:r>
    </w:p>
    <w:p w:rsidR="00E97386" w:rsidRDefault="00A96178" w:rsidP="00E97386">
      <w:pPr>
        <w:pStyle w:val="ListParagraph"/>
        <w:numPr>
          <w:ilvl w:val="0"/>
          <w:numId w:val="5"/>
        </w:numPr>
      </w:pPr>
      <w:r>
        <w:t xml:space="preserve">Decision </w:t>
      </w:r>
      <w:r w:rsidR="00F23AC7">
        <w:t>trees</w:t>
      </w:r>
      <w:r>
        <w:t xml:space="preserve"> were fitted on a random selection of 80% of the data from each set</w:t>
      </w:r>
      <w:r w:rsidR="002E09A4">
        <w:t xml:space="preserve"> (training set)</w:t>
      </w:r>
    </w:p>
    <w:p w:rsidR="006C550A" w:rsidRDefault="006C550A" w:rsidP="00E97386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A04320">
            <wp:simplePos x="0" y="0"/>
            <wp:positionH relativeFrom="margin">
              <wp:align>center</wp:align>
            </wp:positionH>
            <wp:positionV relativeFrom="paragraph">
              <wp:posOffset>455906</wp:posOffset>
            </wp:positionV>
            <wp:extent cx="6358255" cy="2879725"/>
            <wp:effectExtent l="0" t="0" r="4445" b="15875"/>
            <wp:wrapTight wrapText="bothSides">
              <wp:wrapPolygon edited="0">
                <wp:start x="0" y="0"/>
                <wp:lineTo x="0" y="21576"/>
                <wp:lineTo x="21550" y="21576"/>
                <wp:lineTo x="21550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1300D3-79DA-41DD-BC42-09428987F3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AC7">
        <w:t>The distribution of test data from each set is overlaid to show that the distributions were similar thus comparisons are possible.</w:t>
      </w:r>
    </w:p>
    <w:p w:rsidR="009209E5" w:rsidRDefault="009209E5" w:rsidP="009209E5">
      <w:pPr>
        <w:pStyle w:val="ListParagraph"/>
      </w:pPr>
    </w:p>
    <w:p w:rsidR="00104059" w:rsidRDefault="00F23AC7" w:rsidP="00104059">
      <w:pPr>
        <w:pStyle w:val="ListParagraph"/>
        <w:numPr>
          <w:ilvl w:val="0"/>
          <w:numId w:val="5"/>
        </w:numPr>
      </w:pPr>
      <w:r>
        <w:t xml:space="preserve"> </w:t>
      </w:r>
      <w:r w:rsidR="00574044">
        <w:t>The confusion matrices are shown below:</w:t>
      </w:r>
    </w:p>
    <w:p w:rsidR="001C2487" w:rsidRDefault="00104059" w:rsidP="00104059">
      <w:r>
        <w:t xml:space="preserve">The confusion matrix from </w:t>
      </w:r>
      <w:r w:rsidR="001C2487">
        <w:t xml:space="preserve">Obscured set B shows that the decision tree only predicts the majority class correctly. In comparison the confusion matrix from Obscured set A shows that the decision tree </w:t>
      </w:r>
      <w:r w:rsidR="009209E5">
        <w:t xml:space="preserve">correctly predicted more than just the majority class. </w:t>
      </w:r>
    </w:p>
    <w:p w:rsidR="001C2487" w:rsidRDefault="001C2487" w:rsidP="001C2487">
      <w:pPr>
        <w:pStyle w:val="ListParagraph"/>
        <w:numPr>
          <w:ilvl w:val="0"/>
          <w:numId w:val="5"/>
        </w:numPr>
      </w:pPr>
      <w:r>
        <w:t xml:space="preserve">Accuracy and Cross validation comparison </w:t>
      </w:r>
    </w:p>
    <w:p w:rsidR="001C2487" w:rsidRDefault="001C2487" w:rsidP="001C2487">
      <w:r>
        <w:t xml:space="preserve">As a baseline, a dummy classifier was created that only predicted the majority class. The accuracy of this classifier was around 88%. </w:t>
      </w:r>
    </w:p>
    <w:p w:rsidR="001C2487" w:rsidRDefault="009209E5" w:rsidP="001C2487">
      <w:r>
        <w:t xml:space="preserve">The decision tree fitted on both obscure sets A and B had 10-fold cross validation applied. The accuracy of the model was calculated at the end of each iteration. The results are as shown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98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611"/>
      </w:tblGrid>
      <w:tr w:rsidR="009209E5" w:rsidTr="009209E5"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9E5" w:rsidRDefault="009209E5" w:rsidP="001C2487"/>
        </w:tc>
        <w:tc>
          <w:tcPr>
            <w:tcW w:w="8101" w:type="dxa"/>
            <w:gridSpan w:val="11"/>
            <w:tcBorders>
              <w:left w:val="single" w:sz="4" w:space="0" w:color="auto"/>
            </w:tcBorders>
          </w:tcPr>
          <w:p w:rsidR="009209E5" w:rsidRDefault="009209E5" w:rsidP="009209E5">
            <w:pPr>
              <w:jc w:val="center"/>
            </w:pPr>
            <w:r>
              <w:t>Cross validation iterations</w:t>
            </w:r>
          </w:p>
        </w:tc>
      </w:tr>
      <w:tr w:rsidR="009209E5" w:rsidTr="009209E5">
        <w:tc>
          <w:tcPr>
            <w:tcW w:w="9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E5" w:rsidRDefault="009209E5" w:rsidP="001C2487"/>
        </w:tc>
        <w:tc>
          <w:tcPr>
            <w:tcW w:w="983" w:type="dxa"/>
            <w:tcBorders>
              <w:left w:val="single" w:sz="4" w:space="0" w:color="auto"/>
            </w:tcBorders>
          </w:tcPr>
          <w:p w:rsidR="009209E5" w:rsidRDefault="009209E5" w:rsidP="001C2487"/>
        </w:tc>
        <w:tc>
          <w:tcPr>
            <w:tcW w:w="723" w:type="dxa"/>
          </w:tcPr>
          <w:p w:rsidR="009209E5" w:rsidRDefault="009209E5" w:rsidP="001C2487">
            <w:r>
              <w:t>1</w:t>
            </w:r>
          </w:p>
        </w:tc>
        <w:tc>
          <w:tcPr>
            <w:tcW w:w="723" w:type="dxa"/>
          </w:tcPr>
          <w:p w:rsidR="009209E5" w:rsidRDefault="009209E5" w:rsidP="001C2487">
            <w:r>
              <w:t>2</w:t>
            </w:r>
          </w:p>
        </w:tc>
        <w:tc>
          <w:tcPr>
            <w:tcW w:w="723" w:type="dxa"/>
          </w:tcPr>
          <w:p w:rsidR="009209E5" w:rsidRDefault="009209E5" w:rsidP="001C2487">
            <w:r>
              <w:t>3</w:t>
            </w:r>
          </w:p>
        </w:tc>
        <w:tc>
          <w:tcPr>
            <w:tcW w:w="723" w:type="dxa"/>
          </w:tcPr>
          <w:p w:rsidR="009209E5" w:rsidRDefault="009209E5" w:rsidP="001C2487">
            <w:r>
              <w:t>4</w:t>
            </w:r>
          </w:p>
        </w:tc>
        <w:tc>
          <w:tcPr>
            <w:tcW w:w="723" w:type="dxa"/>
          </w:tcPr>
          <w:p w:rsidR="009209E5" w:rsidRDefault="009209E5" w:rsidP="001C2487">
            <w:r>
              <w:t>5</w:t>
            </w:r>
          </w:p>
        </w:tc>
        <w:tc>
          <w:tcPr>
            <w:tcW w:w="723" w:type="dxa"/>
          </w:tcPr>
          <w:p w:rsidR="009209E5" w:rsidRDefault="009209E5" w:rsidP="001C2487">
            <w:r>
              <w:t>6</w:t>
            </w:r>
          </w:p>
        </w:tc>
        <w:tc>
          <w:tcPr>
            <w:tcW w:w="723" w:type="dxa"/>
          </w:tcPr>
          <w:p w:rsidR="009209E5" w:rsidRDefault="009209E5" w:rsidP="001C2487">
            <w:r>
              <w:t>7</w:t>
            </w:r>
          </w:p>
        </w:tc>
        <w:tc>
          <w:tcPr>
            <w:tcW w:w="723" w:type="dxa"/>
          </w:tcPr>
          <w:p w:rsidR="009209E5" w:rsidRDefault="009209E5" w:rsidP="001C2487">
            <w:r>
              <w:t>8</w:t>
            </w:r>
          </w:p>
        </w:tc>
        <w:tc>
          <w:tcPr>
            <w:tcW w:w="723" w:type="dxa"/>
          </w:tcPr>
          <w:p w:rsidR="009209E5" w:rsidRDefault="009209E5" w:rsidP="001C2487">
            <w:r>
              <w:t>9</w:t>
            </w:r>
          </w:p>
        </w:tc>
        <w:tc>
          <w:tcPr>
            <w:tcW w:w="611" w:type="dxa"/>
          </w:tcPr>
          <w:p w:rsidR="009209E5" w:rsidRDefault="009209E5" w:rsidP="001C2487">
            <w:r>
              <w:t>10</w:t>
            </w:r>
          </w:p>
        </w:tc>
      </w:tr>
      <w:tr w:rsidR="009209E5" w:rsidTr="009209E5">
        <w:tc>
          <w:tcPr>
            <w:tcW w:w="915" w:type="dxa"/>
            <w:vMerge w:val="restart"/>
            <w:tcBorders>
              <w:top w:val="single" w:sz="4" w:space="0" w:color="auto"/>
            </w:tcBorders>
          </w:tcPr>
          <w:p w:rsidR="009209E5" w:rsidRDefault="009209E5" w:rsidP="009209E5">
            <w:pPr>
              <w:jc w:val="center"/>
            </w:pPr>
          </w:p>
          <w:p w:rsidR="009209E5" w:rsidRDefault="009209E5" w:rsidP="009209E5">
            <w:pPr>
              <w:jc w:val="center"/>
            </w:pPr>
            <w:r>
              <w:t>Dataset</w:t>
            </w:r>
          </w:p>
        </w:tc>
        <w:tc>
          <w:tcPr>
            <w:tcW w:w="983" w:type="dxa"/>
          </w:tcPr>
          <w:p w:rsidR="009209E5" w:rsidRDefault="009209E5" w:rsidP="001C2487">
            <w:r>
              <w:t>Obscure A</w:t>
            </w:r>
          </w:p>
        </w:tc>
        <w:tc>
          <w:tcPr>
            <w:tcW w:w="723" w:type="dxa"/>
          </w:tcPr>
          <w:p w:rsidR="009209E5" w:rsidRDefault="009209E5" w:rsidP="001C2487">
            <w:r>
              <w:t>0.920</w:t>
            </w:r>
          </w:p>
        </w:tc>
        <w:tc>
          <w:tcPr>
            <w:tcW w:w="723" w:type="dxa"/>
          </w:tcPr>
          <w:p w:rsidR="009209E5" w:rsidRDefault="009209E5" w:rsidP="001C2487">
            <w:r>
              <w:t>0.92</w:t>
            </w:r>
          </w:p>
        </w:tc>
        <w:tc>
          <w:tcPr>
            <w:tcW w:w="723" w:type="dxa"/>
          </w:tcPr>
          <w:p w:rsidR="009209E5" w:rsidRDefault="009209E5" w:rsidP="001C2487">
            <w:r>
              <w:t>0.921</w:t>
            </w:r>
          </w:p>
        </w:tc>
        <w:tc>
          <w:tcPr>
            <w:tcW w:w="723" w:type="dxa"/>
          </w:tcPr>
          <w:p w:rsidR="009209E5" w:rsidRDefault="009209E5" w:rsidP="001C2487">
            <w:r>
              <w:t>0.92</w:t>
            </w:r>
          </w:p>
        </w:tc>
        <w:tc>
          <w:tcPr>
            <w:tcW w:w="723" w:type="dxa"/>
          </w:tcPr>
          <w:p w:rsidR="009209E5" w:rsidRDefault="009209E5" w:rsidP="001C2487">
            <w:r>
              <w:t>0.919</w:t>
            </w:r>
          </w:p>
        </w:tc>
        <w:tc>
          <w:tcPr>
            <w:tcW w:w="723" w:type="dxa"/>
          </w:tcPr>
          <w:p w:rsidR="009209E5" w:rsidRDefault="009209E5" w:rsidP="001C2487">
            <w:r>
              <w:t>0.923</w:t>
            </w:r>
          </w:p>
        </w:tc>
        <w:tc>
          <w:tcPr>
            <w:tcW w:w="723" w:type="dxa"/>
          </w:tcPr>
          <w:p w:rsidR="009209E5" w:rsidRDefault="009209E5" w:rsidP="001C2487">
            <w:r>
              <w:t>0.920</w:t>
            </w:r>
          </w:p>
        </w:tc>
        <w:tc>
          <w:tcPr>
            <w:tcW w:w="723" w:type="dxa"/>
          </w:tcPr>
          <w:p w:rsidR="009209E5" w:rsidRDefault="009209E5" w:rsidP="001C2487">
            <w:r>
              <w:t>0.922</w:t>
            </w:r>
          </w:p>
        </w:tc>
        <w:tc>
          <w:tcPr>
            <w:tcW w:w="723" w:type="dxa"/>
          </w:tcPr>
          <w:p w:rsidR="009209E5" w:rsidRDefault="009209E5" w:rsidP="001C2487">
            <w:r>
              <w:t>0.917</w:t>
            </w:r>
          </w:p>
        </w:tc>
        <w:tc>
          <w:tcPr>
            <w:tcW w:w="611" w:type="dxa"/>
          </w:tcPr>
          <w:p w:rsidR="009209E5" w:rsidRDefault="009209E5" w:rsidP="001C2487">
            <w:r>
              <w:t>0.92</w:t>
            </w:r>
          </w:p>
        </w:tc>
      </w:tr>
      <w:tr w:rsidR="009209E5" w:rsidTr="009209E5">
        <w:tc>
          <w:tcPr>
            <w:tcW w:w="915" w:type="dxa"/>
            <w:vMerge/>
          </w:tcPr>
          <w:p w:rsidR="009209E5" w:rsidRDefault="009209E5" w:rsidP="001C2487"/>
        </w:tc>
        <w:tc>
          <w:tcPr>
            <w:tcW w:w="983" w:type="dxa"/>
          </w:tcPr>
          <w:p w:rsidR="009209E5" w:rsidRDefault="009209E5" w:rsidP="001C2487">
            <w:r>
              <w:t>Obscure B</w:t>
            </w:r>
          </w:p>
        </w:tc>
        <w:tc>
          <w:tcPr>
            <w:tcW w:w="723" w:type="dxa"/>
          </w:tcPr>
          <w:p w:rsidR="009209E5" w:rsidRDefault="009209E5" w:rsidP="001C2487">
            <w:r>
              <w:t>0.886</w:t>
            </w:r>
          </w:p>
        </w:tc>
        <w:tc>
          <w:tcPr>
            <w:tcW w:w="723" w:type="dxa"/>
          </w:tcPr>
          <w:p w:rsidR="009209E5" w:rsidRDefault="009209E5" w:rsidP="001C2487">
            <w:r>
              <w:t>0.885</w:t>
            </w:r>
          </w:p>
        </w:tc>
        <w:tc>
          <w:tcPr>
            <w:tcW w:w="723" w:type="dxa"/>
          </w:tcPr>
          <w:p w:rsidR="009209E5" w:rsidRDefault="009209E5" w:rsidP="001C2487">
            <w:r>
              <w:t>0.887</w:t>
            </w:r>
          </w:p>
        </w:tc>
        <w:tc>
          <w:tcPr>
            <w:tcW w:w="723" w:type="dxa"/>
          </w:tcPr>
          <w:p w:rsidR="009209E5" w:rsidRDefault="009209E5" w:rsidP="001C2487">
            <w:r>
              <w:t>0.886</w:t>
            </w:r>
          </w:p>
        </w:tc>
        <w:tc>
          <w:tcPr>
            <w:tcW w:w="723" w:type="dxa"/>
          </w:tcPr>
          <w:p w:rsidR="009209E5" w:rsidRDefault="009209E5" w:rsidP="001C2487">
            <w:r>
              <w:t>0.886</w:t>
            </w:r>
          </w:p>
        </w:tc>
        <w:tc>
          <w:tcPr>
            <w:tcW w:w="723" w:type="dxa"/>
          </w:tcPr>
          <w:p w:rsidR="009209E5" w:rsidRDefault="009209E5" w:rsidP="001C2487">
            <w:r>
              <w:t>0.884</w:t>
            </w:r>
          </w:p>
        </w:tc>
        <w:tc>
          <w:tcPr>
            <w:tcW w:w="723" w:type="dxa"/>
          </w:tcPr>
          <w:p w:rsidR="009209E5" w:rsidRDefault="009209E5" w:rsidP="001C2487">
            <w:r>
              <w:t>0.885</w:t>
            </w:r>
          </w:p>
        </w:tc>
        <w:tc>
          <w:tcPr>
            <w:tcW w:w="723" w:type="dxa"/>
          </w:tcPr>
          <w:p w:rsidR="009209E5" w:rsidRDefault="009209E5" w:rsidP="001C2487">
            <w:r>
              <w:t>0.885</w:t>
            </w:r>
          </w:p>
        </w:tc>
        <w:tc>
          <w:tcPr>
            <w:tcW w:w="723" w:type="dxa"/>
          </w:tcPr>
          <w:p w:rsidR="009209E5" w:rsidRDefault="009209E5" w:rsidP="001C2487">
            <w:r>
              <w:t>0.885</w:t>
            </w:r>
          </w:p>
        </w:tc>
        <w:tc>
          <w:tcPr>
            <w:tcW w:w="611" w:type="dxa"/>
          </w:tcPr>
          <w:p w:rsidR="009209E5" w:rsidRDefault="009209E5" w:rsidP="001C2487">
            <w:r>
              <w:t>0.88</w:t>
            </w:r>
          </w:p>
        </w:tc>
      </w:tr>
    </w:tbl>
    <w:p w:rsidR="009209E5" w:rsidRDefault="009209E5" w:rsidP="001C2487"/>
    <w:p w:rsidR="00EF5CE4" w:rsidRDefault="00EF5CE4" w:rsidP="00EF5CE4"/>
    <w:p w:rsidR="00E97386" w:rsidRDefault="00E97386" w:rsidP="00E97386"/>
    <w:p w:rsidR="00110C75" w:rsidRDefault="00110C75" w:rsidP="00110C75"/>
    <w:p w:rsidR="00F84F1D" w:rsidRDefault="00431E88" w:rsidP="009209E5">
      <w:r>
        <w:lastRenderedPageBreak/>
        <w:t xml:space="preserve">The accuracy of the decision tree </w:t>
      </w:r>
      <w:r w:rsidR="004C49CF">
        <w:t xml:space="preserve">fitted to obscure B stays around 88% which is </w:t>
      </w:r>
      <w:proofErr w:type="gramStart"/>
      <w:r w:rsidR="004C49CF">
        <w:t>similar to</w:t>
      </w:r>
      <w:proofErr w:type="gramEnd"/>
      <w:r w:rsidR="004C49CF">
        <w:t xml:space="preserve"> the accuracy of only predicting the majority correctly.</w:t>
      </w:r>
      <w:r w:rsidR="00F84F1D">
        <w:t xml:space="preserve"> Examining the confusion matrix above, it was observed</w:t>
      </w:r>
      <w:r w:rsidR="002C5D64">
        <w:t xml:space="preserve"> the</w:t>
      </w:r>
      <w:r w:rsidR="00F84F1D">
        <w:t xml:space="preserve"> decision tree in that iteration predicted only the majority class correctly. </w:t>
      </w:r>
      <w:r w:rsidR="002C5D64">
        <w:t xml:space="preserve">It can be postulated that the decision tree fitted to obscure B is only predicting the majority class correctly. </w:t>
      </w:r>
    </w:p>
    <w:p w:rsidR="00E97386" w:rsidRDefault="004C49CF" w:rsidP="009209E5">
      <w:r>
        <w:t xml:space="preserve">In comparison the accuracy of the decision tree fitted to obscure A is </w:t>
      </w:r>
      <w:r w:rsidR="00F84F1D">
        <w:t>consistently</w:t>
      </w:r>
      <w:r>
        <w:t xml:space="preserve"> 92%.</w:t>
      </w:r>
      <w:r w:rsidR="00F84F1D">
        <w:t xml:space="preserve"> This is higher than the decision tree fitted to </w:t>
      </w:r>
      <w:r w:rsidR="002C5D64">
        <w:t xml:space="preserve">obscure B and the dummy classifier. </w:t>
      </w:r>
    </w:p>
    <w:p w:rsidR="002C5D64" w:rsidRDefault="002C5D64" w:rsidP="009209E5">
      <w:r>
        <w:t xml:space="preserve">Using the confusion matrix and the accuracy evidence I am concluding that Obscure set A is the original dataset and </w:t>
      </w:r>
      <w:proofErr w:type="spellStart"/>
      <w:r>
        <w:t>Obsure</w:t>
      </w:r>
      <w:proofErr w:type="spellEnd"/>
      <w:r>
        <w:t xml:space="preserve"> set B has been shuffled. </w:t>
      </w:r>
    </w:p>
    <w:p w:rsidR="001256D1" w:rsidRDefault="001256D1" w:rsidP="009209E5">
      <w:bookmarkStart w:id="0" w:name="_GoBack"/>
      <w:bookmarkEnd w:id="0"/>
    </w:p>
    <w:sectPr w:rsidR="001256D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1EF" w:rsidRDefault="00B751EF" w:rsidP="00DB7D7C">
      <w:pPr>
        <w:spacing w:after="0" w:line="240" w:lineRule="auto"/>
      </w:pPr>
      <w:r>
        <w:separator/>
      </w:r>
    </w:p>
  </w:endnote>
  <w:endnote w:type="continuationSeparator" w:id="0">
    <w:p w:rsidR="00B751EF" w:rsidRDefault="00B751EF" w:rsidP="00DB7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for KPMG Light">
    <w:panose1 w:val="020B0403020202020204"/>
    <w:charset w:val="00"/>
    <w:family w:val="swiss"/>
    <w:pitch w:val="variable"/>
    <w:sig w:usb0="8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1EF" w:rsidRDefault="00B751EF" w:rsidP="00DB7D7C">
      <w:pPr>
        <w:spacing w:after="0" w:line="240" w:lineRule="auto"/>
      </w:pPr>
      <w:r>
        <w:separator/>
      </w:r>
    </w:p>
  </w:footnote>
  <w:footnote w:type="continuationSeparator" w:id="0">
    <w:p w:rsidR="00B751EF" w:rsidRDefault="00B751EF" w:rsidP="00DB7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D7C" w:rsidRDefault="00DB7D7C">
    <w:pPr>
      <w:pStyle w:val="Header"/>
    </w:pPr>
    <w:r>
      <w:t>361 Assignment 1 &amp; 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F12"/>
    <w:multiLevelType w:val="hybridMultilevel"/>
    <w:tmpl w:val="FE0E09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4096"/>
    <w:multiLevelType w:val="hybridMultilevel"/>
    <w:tmpl w:val="22AED88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75A39"/>
    <w:multiLevelType w:val="hybridMultilevel"/>
    <w:tmpl w:val="C450E68C"/>
    <w:lvl w:ilvl="0" w:tplc="5E8ED12A">
      <w:start w:val="1"/>
      <w:numFmt w:val="bullet"/>
      <w:lvlText w:val="-"/>
      <w:lvlJc w:val="left"/>
      <w:pPr>
        <w:ind w:left="720" w:hanging="360"/>
      </w:pPr>
      <w:rPr>
        <w:rFonts w:ascii="Univers for KPMG Light" w:eastAsiaTheme="minorHAnsi" w:hAnsi="Univers for KPMG Light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42C35"/>
    <w:multiLevelType w:val="hybridMultilevel"/>
    <w:tmpl w:val="6CA207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65896"/>
    <w:multiLevelType w:val="hybridMultilevel"/>
    <w:tmpl w:val="99582C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7C"/>
    <w:rsid w:val="000A151D"/>
    <w:rsid w:val="00104059"/>
    <w:rsid w:val="00110C75"/>
    <w:rsid w:val="001256D1"/>
    <w:rsid w:val="001C2487"/>
    <w:rsid w:val="002C5D64"/>
    <w:rsid w:val="002E09A4"/>
    <w:rsid w:val="00431E88"/>
    <w:rsid w:val="004C49CF"/>
    <w:rsid w:val="00574044"/>
    <w:rsid w:val="005B7CC5"/>
    <w:rsid w:val="006C550A"/>
    <w:rsid w:val="00820004"/>
    <w:rsid w:val="009209E5"/>
    <w:rsid w:val="009D4137"/>
    <w:rsid w:val="00A16DAE"/>
    <w:rsid w:val="00A60131"/>
    <w:rsid w:val="00A96178"/>
    <w:rsid w:val="00AF6127"/>
    <w:rsid w:val="00B751EF"/>
    <w:rsid w:val="00C413B6"/>
    <w:rsid w:val="00C81638"/>
    <w:rsid w:val="00CC58AB"/>
    <w:rsid w:val="00DB7D7C"/>
    <w:rsid w:val="00E30F54"/>
    <w:rsid w:val="00E97386"/>
    <w:rsid w:val="00EF5CE4"/>
    <w:rsid w:val="00F23AC7"/>
    <w:rsid w:val="00F82427"/>
    <w:rsid w:val="00F83B38"/>
    <w:rsid w:val="00F8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A6BB"/>
  <w15:chartTrackingRefBased/>
  <w15:docId w15:val="{FAF53A9A-601F-434F-A798-59C9AA10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Univers for KPMG Light" w:hAnsi="Univers for KPMG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D7C"/>
    <w:rPr>
      <w:rFonts w:ascii="Univers for KPMG Light" w:hAnsi="Univers for KPMG Light"/>
    </w:rPr>
  </w:style>
  <w:style w:type="paragraph" w:styleId="Footer">
    <w:name w:val="footer"/>
    <w:basedOn w:val="Normal"/>
    <w:link w:val="FooterChar"/>
    <w:uiPriority w:val="99"/>
    <w:unhideWhenUsed/>
    <w:rsid w:val="00DB7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D7C"/>
    <w:rPr>
      <w:rFonts w:ascii="Univers for KPMG Light" w:hAnsi="Univers for KPMG Light"/>
    </w:rPr>
  </w:style>
  <w:style w:type="paragraph" w:styleId="ListParagraph">
    <w:name w:val="List Paragraph"/>
    <w:basedOn w:val="Normal"/>
    <w:uiPriority w:val="34"/>
    <w:qFormat/>
    <w:rsid w:val="00DB7D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0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9E5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cheena\OneDrive%20-%20KPMG\Documents\University2020\Compsci361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Distribution</a:t>
            </a:r>
            <a:r>
              <a:rPr lang="en-NZ" baseline="0"/>
              <a:t> of Test Data 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Obscured 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Sheet1!$A$2:$A$25</c:f>
              <c:strCache>
                <c:ptCount val="2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</c:strCache>
            </c:str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0</c:v>
                </c:pt>
                <c:pt idx="1">
                  <c:v>33</c:v>
                </c:pt>
                <c:pt idx="2">
                  <c:v>6767</c:v>
                </c:pt>
                <c:pt idx="3">
                  <c:v>3</c:v>
                </c:pt>
                <c:pt idx="4">
                  <c:v>2</c:v>
                </c:pt>
                <c:pt idx="5">
                  <c:v>10</c:v>
                </c:pt>
                <c:pt idx="6">
                  <c:v>19</c:v>
                </c:pt>
                <c:pt idx="7">
                  <c:v>84</c:v>
                </c:pt>
                <c:pt idx="8">
                  <c:v>7</c:v>
                </c:pt>
                <c:pt idx="9">
                  <c:v>0</c:v>
                </c:pt>
                <c:pt idx="10">
                  <c:v>13</c:v>
                </c:pt>
                <c:pt idx="11">
                  <c:v>13</c:v>
                </c:pt>
                <c:pt idx="12">
                  <c:v>0</c:v>
                </c:pt>
                <c:pt idx="13">
                  <c:v>1</c:v>
                </c:pt>
                <c:pt idx="14">
                  <c:v>23</c:v>
                </c:pt>
                <c:pt idx="15">
                  <c:v>4</c:v>
                </c:pt>
                <c:pt idx="16">
                  <c:v>78</c:v>
                </c:pt>
                <c:pt idx="17">
                  <c:v>4</c:v>
                </c:pt>
                <c:pt idx="18">
                  <c:v>2</c:v>
                </c:pt>
                <c:pt idx="19">
                  <c:v>424</c:v>
                </c:pt>
                <c:pt idx="20">
                  <c:v>1</c:v>
                </c:pt>
                <c:pt idx="21">
                  <c:v>134</c:v>
                </c:pt>
                <c:pt idx="22">
                  <c:v>9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A1-4648-8477-86582EC37AF8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Obscured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Sheet1!$A$2:$A$25</c:f>
              <c:strCache>
                <c:ptCount val="2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0">
                  <c:v>1</c:v>
                </c:pt>
                <c:pt idx="1">
                  <c:v>23</c:v>
                </c:pt>
                <c:pt idx="2">
                  <c:v>6782</c:v>
                </c:pt>
                <c:pt idx="3">
                  <c:v>4</c:v>
                </c:pt>
                <c:pt idx="4">
                  <c:v>2</c:v>
                </c:pt>
                <c:pt idx="5">
                  <c:v>8</c:v>
                </c:pt>
                <c:pt idx="6">
                  <c:v>21</c:v>
                </c:pt>
                <c:pt idx="7">
                  <c:v>101</c:v>
                </c:pt>
                <c:pt idx="8">
                  <c:v>5</c:v>
                </c:pt>
                <c:pt idx="9">
                  <c:v>2</c:v>
                </c:pt>
                <c:pt idx="10">
                  <c:v>13</c:v>
                </c:pt>
                <c:pt idx="11">
                  <c:v>13</c:v>
                </c:pt>
                <c:pt idx="12">
                  <c:v>1</c:v>
                </c:pt>
                <c:pt idx="13">
                  <c:v>0</c:v>
                </c:pt>
                <c:pt idx="14">
                  <c:v>12</c:v>
                </c:pt>
                <c:pt idx="15">
                  <c:v>2</c:v>
                </c:pt>
                <c:pt idx="16">
                  <c:v>54</c:v>
                </c:pt>
                <c:pt idx="17">
                  <c:v>2</c:v>
                </c:pt>
                <c:pt idx="18">
                  <c:v>5</c:v>
                </c:pt>
                <c:pt idx="19">
                  <c:v>401</c:v>
                </c:pt>
                <c:pt idx="20">
                  <c:v>1</c:v>
                </c:pt>
                <c:pt idx="21">
                  <c:v>173</c:v>
                </c:pt>
                <c:pt idx="22">
                  <c:v>4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A1-4648-8477-86582EC37A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79767983"/>
        <c:axId val="1394136815"/>
      </c:barChart>
      <c:catAx>
        <c:axId val="1479767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4136815"/>
        <c:crosses val="autoZero"/>
        <c:auto val="1"/>
        <c:lblAlgn val="ctr"/>
        <c:lblOffset val="100"/>
        <c:noMultiLvlLbl val="0"/>
      </c:catAx>
      <c:valAx>
        <c:axId val="139413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 Number</a:t>
                </a:r>
                <a:r>
                  <a:rPr lang="en-NZ" baseline="0"/>
                  <a:t> of Instances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76798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cp:keywords/>
  <dc:description/>
  <cp:lastModifiedBy>Cheena, Hasnain</cp:lastModifiedBy>
  <cp:revision>21</cp:revision>
  <dcterms:created xsi:type="dcterms:W3CDTF">2020-03-03T20:56:00Z</dcterms:created>
  <dcterms:modified xsi:type="dcterms:W3CDTF">2020-03-03T23:04:00Z</dcterms:modified>
</cp:coreProperties>
</file>