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8"/>
          <w:szCs w:val="48"/>
        </w:rPr>
      </w:pPr>
      <w:r>
        <w:rPr>
          <w:sz w:val="48"/>
          <w:szCs w:val="48"/>
        </w:rPr>
        <w:t>Compsci 361 Assignment 1</w:t>
      </w:r>
    </w:p>
    <w:p>
      <w:pPr>
        <w:pStyle w:val="Subtitle"/>
        <w:rPr/>
      </w:pPr>
      <w:r>
        <w:rPr/>
        <w:t>Hasnain Cheena</w:t>
        <w:br/>
        <w:t>190411106</w:t>
        <w:br/>
        <w:t>hche737</w:t>
      </w:r>
    </w:p>
    <w:p>
      <w:pPr>
        <w:pStyle w:val="Heading2"/>
        <w:rPr/>
      </w:pPr>
      <w:r>
        <w:rPr/>
        <w:t>Part A</w:t>
      </w:r>
    </w:p>
    <w:p>
      <w:pPr>
        <w:pStyle w:val="Normal"/>
        <w:rPr/>
      </w:pPr>
      <w:r>
        <w:rPr/>
        <w:t xml:space="preserve">Obscured A is the real file while Obscured B is the shuffled dataset. </w:t>
      </w:r>
    </w:p>
    <w:p>
      <w:pPr>
        <w:pStyle w:val="Heading2"/>
        <w:rPr/>
      </w:pPr>
      <w:r>
        <w:rPr/>
        <w:t>Part B:</w:t>
      </w:r>
    </w:p>
    <w:p>
      <w:pPr>
        <w:pStyle w:val="Normal"/>
        <w:rPr>
          <w:i/>
          <w:i/>
          <w:iCs/>
        </w:rPr>
      </w:pPr>
      <w:r>
        <w:rPr>
          <w:i/>
          <w:iCs/>
        </w:rPr>
        <w:t xml:space="preserve">Method 1: </w:t>
      </w:r>
      <w:r>
        <w:rPr>
          <w:rFonts w:eastAsia="Calibri" w:cs="" w:cstheme="minorBidi" w:eastAsiaTheme="minorHAnsi"/>
          <w:i/>
          <w:iCs/>
          <w:color w:val="auto"/>
          <w:kern w:val="0"/>
          <w:sz w:val="22"/>
          <w:szCs w:val="22"/>
          <w:lang w:val="en-NZ" w:eastAsia="en-US" w:bidi="ar-SA"/>
        </w:rPr>
        <w:t>Examing nodes and tree structure</w:t>
      </w:r>
    </w:p>
    <w:p>
      <w:pPr>
        <w:pStyle w:val="Normal"/>
        <w:rPr/>
      </w:pPr>
      <w:r>
        <w:rPr/>
        <w:t xml:space="preserve">The first method used was to examine the structure of the decision tree </w:t>
      </w:r>
      <w:r>
        <w:rPr/>
        <w:t>and nodes of the decision tree produced</w:t>
      </w:r>
      <w:r>
        <w:rPr/>
        <w:t xml:space="preserve">. The decision tree created by Obscure A had a size of 1636 and had 1623 leaves. In comparision the decision tree created by Obscure B had a size of 1 and </w:t>
      </w:r>
      <w:r>
        <w:rPr/>
        <w:t xml:space="preserve">had </w:t>
      </w:r>
      <w:r>
        <w:rPr/>
        <w:t xml:space="preserve">1 leaf. Therefore, as the tree fitted to Obscure B had no </w:t>
      </w:r>
      <w:r>
        <w:rPr>
          <w:rFonts w:eastAsia="Calibri" w:cs="" w:cstheme="minorBidi" w:eastAsiaTheme="minorHAnsi"/>
          <w:color w:val="auto"/>
          <w:kern w:val="0"/>
          <w:sz w:val="22"/>
          <w:szCs w:val="22"/>
          <w:lang w:val="en-NZ" w:eastAsia="en-US" w:bidi="ar-SA"/>
        </w:rPr>
        <w:t>internal</w:t>
      </w:r>
      <w:r>
        <w:rPr/>
        <w:t xml:space="preserve"> nodes </w:t>
      </w:r>
      <w:r>
        <w:rPr/>
        <w:t>meaning that</w:t>
      </w:r>
      <w:r>
        <w:rPr/>
        <w:t xml:space="preserve"> </w:t>
      </w:r>
      <w:r>
        <w:rPr/>
        <w:t>no attributes were used during the classification. Therefore,</w:t>
      </w:r>
      <w:r>
        <w:rPr/>
        <w:t xml:space="preserve"> the tree found no useful features. </w:t>
      </w:r>
      <w:r>
        <w:rPr/>
        <w:t>H</w:t>
      </w:r>
      <w:r>
        <w:rPr/>
        <w:t>ence it was concluded that Obscure B did not contain a signal and was the shuffled dataset.</w:t>
      </w:r>
    </w:p>
    <w:p>
      <w:pPr>
        <w:pStyle w:val="Normal"/>
        <w:rPr>
          <w:i/>
          <w:i/>
          <w:iCs/>
        </w:rPr>
      </w:pPr>
      <w:r>
        <w:rPr>
          <w:i/>
          <w:iCs/>
        </w:rPr>
        <w:t xml:space="preserve">Method 2: Re-shuffle the data </w:t>
      </w:r>
    </w:p>
    <w:p>
      <w:pPr>
        <w:pStyle w:val="Normal"/>
        <w:rPr/>
      </w:pPr>
      <w:r>
        <w:rPr/>
        <w:t>The second method involved fitting a decision tree on both datasets with 10-fold cross validation. Then shuffling both datasets, rerunning the training process with 10-fold cross validation and comparing the results to before shuffling. Prior to shuffling the accuracy for Obscure A was 92.1% and for Obscure B was 88.</w:t>
      </w:r>
      <w:r>
        <w:rPr/>
        <w:t>6</w:t>
      </w:r>
      <w:r>
        <w:rPr/>
        <w:t>%. After shuffling the accuracy for Obscure A dropped down to 88.</w:t>
      </w:r>
      <w:r>
        <w:rPr/>
        <w:t>6</w:t>
      </w:r>
      <w:r>
        <w:rPr/>
        <w:t xml:space="preserve">% and for Obscure B the average accuracy remained at </w:t>
      </w:r>
      <w:r>
        <w:rPr/>
        <w:t>88.6%</w:t>
      </w:r>
      <w:r>
        <w:rPr/>
        <w:t>. Therefore, as the</w:t>
      </w:r>
      <w:r>
        <w:rPr/>
        <w:t xml:space="preserve"> </w:t>
      </w:r>
      <w:r>
        <w:rPr/>
        <w:t xml:space="preserve">accuracy for Obscure A decreased when the dataset was </w:t>
      </w:r>
      <w:r>
        <w:rPr>
          <w:rFonts w:eastAsia="Calibri" w:cs="" w:cstheme="minorBidi" w:eastAsiaTheme="minorHAnsi"/>
          <w:color w:val="auto"/>
          <w:kern w:val="0"/>
          <w:sz w:val="22"/>
          <w:szCs w:val="22"/>
          <w:lang w:val="en-NZ" w:eastAsia="en-US" w:bidi="ar-SA"/>
        </w:rPr>
        <w:t xml:space="preserve">randomly shuffled, Obscure A is the real dataset. Furthermore, as the accuracy for </w:t>
      </w:r>
      <w:r>
        <w:rPr/>
        <w:t xml:space="preserve">Obscure B remained similar </w:t>
      </w:r>
      <w:r>
        <w:rPr/>
        <w:t xml:space="preserve">before and after randomisation, </w:t>
      </w:r>
      <w:r>
        <w:rPr/>
        <w:t xml:space="preserve">Obscure B </w:t>
      </w:r>
      <w:r>
        <w:rPr>
          <w:rFonts w:eastAsia="Calibri" w:cs="" w:cstheme="minorBidi" w:eastAsiaTheme="minorHAnsi"/>
          <w:color w:val="auto"/>
          <w:kern w:val="0"/>
          <w:sz w:val="22"/>
          <w:szCs w:val="22"/>
          <w:lang w:val="en-NZ" w:eastAsia="en-US" w:bidi="ar-SA"/>
        </w:rPr>
        <w:t>does</w:t>
      </w:r>
      <w:r>
        <w:rPr/>
        <w:t xml:space="preserve"> not contain a signal and was the shuffled dataset. </w:t>
      </w:r>
    </w:p>
    <w:p>
      <w:pPr>
        <w:pStyle w:val="Heading2"/>
        <w:rPr/>
      </w:pPr>
      <w:r>
        <w:rPr/>
        <w:t>Part C</w:t>
      </w:r>
    </w:p>
    <w:p>
      <w:pPr>
        <w:pStyle w:val="Normal"/>
        <w:rPr/>
      </w:pPr>
      <w:r>
        <w:rPr/>
        <w:t xml:space="preserve">Assessing the nodes and leaves of the decision tree’s produced (method 1) and re-shuffling the data (method 2) work well even as the datasets are scaled down. These techniques work well even when the datasets are scaled down because the distribution </w:t>
      </w:r>
      <w:r>
        <w:rPr>
          <w:rFonts w:eastAsia="Calibri" w:cs="" w:cstheme="minorBidi" w:eastAsiaTheme="minorHAnsi"/>
          <w:color w:val="auto"/>
          <w:kern w:val="0"/>
          <w:sz w:val="22"/>
          <w:szCs w:val="22"/>
          <w:lang w:val="en-NZ" w:eastAsia="en-US" w:bidi="ar-SA"/>
        </w:rPr>
        <w:t>target labels</w:t>
      </w:r>
      <w:r>
        <w:rPr/>
        <w:t xml:space="preserve"> </w:t>
      </w:r>
      <w:r>
        <w:rPr/>
        <w:t>when</w:t>
      </w:r>
      <w:r>
        <w:rPr/>
        <w:t xml:space="preserve"> scaled down is similar to the distribution of </w:t>
      </w:r>
      <w:r>
        <w:rPr>
          <w:rFonts w:eastAsia="Calibri" w:cs="" w:cstheme="minorBidi" w:eastAsiaTheme="minorHAnsi"/>
          <w:color w:val="auto"/>
          <w:kern w:val="0"/>
          <w:sz w:val="22"/>
          <w:szCs w:val="22"/>
          <w:lang w:val="en-NZ" w:eastAsia="en-US" w:bidi="ar-SA"/>
        </w:rPr>
        <w:t>target labels</w:t>
      </w:r>
      <w:r>
        <w:rPr/>
        <w:t xml:space="preserve"> in the original dataset. </w:t>
      </w:r>
    </w:p>
    <w:p>
      <w:pPr>
        <w:pStyle w:val="Normal"/>
        <w:rPr/>
      </w:pPr>
      <w:r>
        <w:rPr/>
        <w:t>Results are summarized below:</w:t>
      </w:r>
      <w:r>
        <w:rPr/>
        <w:t xml:space="preserve">  </w:t>
      </w:r>
    </w:p>
    <w:tbl>
      <w:tblPr>
        <w:tblW w:w="9019" w:type="dxa"/>
        <w:jc w:val="left"/>
        <w:tblInd w:w="0" w:type="dxa"/>
        <w:tblCellMar>
          <w:top w:w="0" w:type="dxa"/>
          <w:left w:w="0" w:type="dxa"/>
          <w:bottom w:w="0" w:type="dxa"/>
          <w:right w:w="0" w:type="dxa"/>
        </w:tblCellMar>
      </w:tblPr>
      <w:tblGrid>
        <w:gridCol w:w="1528"/>
        <w:gridCol w:w="1819"/>
        <w:gridCol w:w="2034"/>
        <w:gridCol w:w="1707"/>
        <w:gridCol w:w="1931"/>
      </w:tblGrid>
      <w:tr>
        <w:trPr/>
        <w:tc>
          <w:tcPr>
            <w:tcW w:w="1528" w:type="dxa"/>
            <w:tcBorders/>
          </w:tcPr>
          <w:p>
            <w:pPr>
              <w:pStyle w:val="TableContents"/>
              <w:spacing w:before="0" w:after="160"/>
              <w:rPr>
                <w:b/>
                <w:b/>
                <w:bCs/>
                <w:sz w:val="16"/>
                <w:szCs w:val="16"/>
              </w:rPr>
            </w:pPr>
            <w:r>
              <w:rPr>
                <w:b/>
                <w:bCs/>
                <w:sz w:val="16"/>
                <w:szCs w:val="16"/>
              </w:rPr>
              <w:t>Dataset</w:t>
            </w:r>
          </w:p>
        </w:tc>
        <w:tc>
          <w:tcPr>
            <w:tcW w:w="1819" w:type="dxa"/>
            <w:tcBorders/>
          </w:tcPr>
          <w:p>
            <w:pPr>
              <w:pStyle w:val="TableContents"/>
              <w:spacing w:before="0" w:after="160"/>
              <w:rPr>
                <w:b/>
                <w:b/>
                <w:bCs/>
                <w:sz w:val="16"/>
                <w:szCs w:val="16"/>
              </w:rPr>
            </w:pPr>
            <w:r>
              <w:rPr>
                <w:b/>
                <w:bCs/>
                <w:sz w:val="16"/>
                <w:szCs w:val="16"/>
              </w:rPr>
              <w:t>Total Nodes</w:t>
            </w:r>
          </w:p>
        </w:tc>
        <w:tc>
          <w:tcPr>
            <w:tcW w:w="2034" w:type="dxa"/>
            <w:tcBorders/>
          </w:tcPr>
          <w:p>
            <w:pPr>
              <w:pStyle w:val="TableContents"/>
              <w:spacing w:before="0" w:after="160"/>
              <w:rPr>
                <w:b/>
                <w:b/>
                <w:bCs/>
                <w:sz w:val="16"/>
                <w:szCs w:val="16"/>
              </w:rPr>
            </w:pPr>
            <w:r>
              <w:rPr>
                <w:b/>
                <w:bCs/>
                <w:sz w:val="16"/>
                <w:szCs w:val="16"/>
              </w:rPr>
              <w:t>Number of Leaves</w:t>
            </w:r>
          </w:p>
        </w:tc>
        <w:tc>
          <w:tcPr>
            <w:tcW w:w="1707" w:type="dxa"/>
            <w:tcBorders/>
          </w:tcPr>
          <w:p>
            <w:pPr>
              <w:pStyle w:val="TableContents"/>
              <w:spacing w:before="0" w:after="160"/>
              <w:rPr>
                <w:rFonts w:ascii="Univers for KPMG Light" w:hAnsi="Univers for KPMG Light" w:eastAsia="Calibri" w:cs="" w:cstheme="minorBidi" w:eastAsiaTheme="minorHAnsi"/>
                <w:b/>
                <w:b/>
                <w:bCs/>
                <w:color w:val="auto"/>
                <w:kern w:val="0"/>
                <w:sz w:val="16"/>
                <w:szCs w:val="16"/>
                <w:lang w:val="en-NZ" w:eastAsia="en-US" w:bidi="ar-SA"/>
              </w:rPr>
            </w:pPr>
            <w:r>
              <w:rPr>
                <w:rFonts w:eastAsia="Calibri" w:cs="" w:cstheme="minorBidi" w:eastAsiaTheme="minorHAnsi"/>
                <w:b/>
                <w:bCs/>
                <w:color w:val="auto"/>
                <w:kern w:val="0"/>
                <w:sz w:val="16"/>
                <w:szCs w:val="16"/>
                <w:lang w:val="en-NZ" w:eastAsia="en-US" w:bidi="ar-SA"/>
              </w:rPr>
              <w:t>Accuracy</w:t>
            </w:r>
          </w:p>
        </w:tc>
        <w:tc>
          <w:tcPr>
            <w:tcW w:w="1931" w:type="dxa"/>
            <w:tcBorders/>
          </w:tcPr>
          <w:p>
            <w:pPr>
              <w:pStyle w:val="TableContents"/>
              <w:spacing w:before="0" w:after="160"/>
              <w:rPr>
                <w:rFonts w:ascii="Univers for KPMG Light" w:hAnsi="Univers for KPMG Light" w:eastAsia="Calibri" w:cs="" w:cstheme="minorBidi" w:eastAsiaTheme="minorHAnsi"/>
                <w:b/>
                <w:b/>
                <w:bCs/>
                <w:color w:val="auto"/>
                <w:kern w:val="0"/>
                <w:sz w:val="16"/>
                <w:szCs w:val="16"/>
                <w:lang w:val="en-NZ" w:eastAsia="en-US" w:bidi="ar-SA"/>
              </w:rPr>
            </w:pPr>
            <w:r>
              <w:rPr>
                <w:rFonts w:eastAsia="Calibri" w:cs="" w:cstheme="minorBidi" w:eastAsiaTheme="minorHAnsi"/>
                <w:b/>
                <w:bCs/>
                <w:color w:val="auto"/>
                <w:kern w:val="0"/>
                <w:sz w:val="16"/>
                <w:szCs w:val="16"/>
                <w:lang w:val="en-NZ" w:eastAsia="en-US" w:bidi="ar-SA"/>
              </w:rPr>
              <w:t>Randomised Accuracy</w:t>
            </w:r>
          </w:p>
        </w:tc>
      </w:tr>
      <w:tr>
        <w:trPr/>
        <w:tc>
          <w:tcPr>
            <w:tcW w:w="1528" w:type="dxa"/>
            <w:tcBorders/>
          </w:tcPr>
          <w:p>
            <w:pPr>
              <w:pStyle w:val="TableContents"/>
              <w:spacing w:before="0" w:after="160"/>
              <w:rPr>
                <w:sz w:val="16"/>
                <w:szCs w:val="16"/>
              </w:rPr>
            </w:pPr>
            <w:r>
              <w:rPr>
                <w:sz w:val="16"/>
                <w:szCs w:val="16"/>
              </w:rPr>
              <w:t>Obscure A</w:t>
            </w:r>
          </w:p>
        </w:tc>
        <w:tc>
          <w:tcPr>
            <w:tcW w:w="1819" w:type="dxa"/>
            <w:tcBorders/>
          </w:tcPr>
          <w:p>
            <w:pPr>
              <w:pStyle w:val="TableContents"/>
              <w:spacing w:before="0" w:after="160"/>
              <w:rPr>
                <w:sz w:val="16"/>
                <w:szCs w:val="16"/>
              </w:rPr>
            </w:pPr>
            <w:r>
              <w:rPr>
                <w:sz w:val="16"/>
                <w:szCs w:val="16"/>
              </w:rPr>
              <w:t>1636</w:t>
            </w:r>
          </w:p>
        </w:tc>
        <w:tc>
          <w:tcPr>
            <w:tcW w:w="2034" w:type="dxa"/>
            <w:tcBorders/>
          </w:tcPr>
          <w:p>
            <w:pPr>
              <w:pStyle w:val="TableContents"/>
              <w:spacing w:before="0" w:after="160"/>
              <w:rPr>
                <w:sz w:val="16"/>
                <w:szCs w:val="16"/>
              </w:rPr>
            </w:pPr>
            <w:r>
              <w:rPr>
                <w:sz w:val="16"/>
                <w:szCs w:val="16"/>
              </w:rPr>
              <w:t>1623</w:t>
            </w:r>
          </w:p>
        </w:tc>
        <w:tc>
          <w:tcPr>
            <w:tcW w:w="1707" w:type="dxa"/>
            <w:tcBorders/>
          </w:tcPr>
          <w:p>
            <w:pPr>
              <w:pStyle w:val="Normal"/>
              <w:spacing w:before="0" w:after="160"/>
              <w:rPr>
                <w:sz w:val="16"/>
                <w:szCs w:val="16"/>
              </w:rPr>
            </w:pPr>
            <w:r>
              <w:rPr>
                <w:sz w:val="16"/>
                <w:szCs w:val="16"/>
              </w:rPr>
              <w:t>92.1%</w:t>
            </w:r>
          </w:p>
        </w:tc>
        <w:tc>
          <w:tcPr>
            <w:tcW w:w="1931" w:type="dxa"/>
            <w:tcBorders/>
          </w:tcPr>
          <w:p>
            <w:pPr>
              <w:pStyle w:val="Normal"/>
              <w:spacing w:before="0" w:after="160"/>
              <w:rPr>
                <w:sz w:val="16"/>
                <w:szCs w:val="16"/>
              </w:rPr>
            </w:pPr>
            <w:r>
              <w:rPr>
                <w:sz w:val="16"/>
                <w:szCs w:val="16"/>
              </w:rPr>
              <w:t>88.</w:t>
            </w:r>
            <w:r>
              <w:rPr>
                <w:sz w:val="16"/>
                <w:szCs w:val="16"/>
              </w:rPr>
              <w:t>6</w:t>
            </w:r>
            <w:r>
              <w:rPr>
                <w:sz w:val="16"/>
                <w:szCs w:val="16"/>
              </w:rPr>
              <w:t>%</w:t>
            </w:r>
          </w:p>
        </w:tc>
      </w:tr>
      <w:tr>
        <w:trPr/>
        <w:tc>
          <w:tcPr>
            <w:tcW w:w="1528" w:type="dxa"/>
            <w:tcBorders/>
          </w:tcPr>
          <w:p>
            <w:pPr>
              <w:pStyle w:val="TableContents"/>
              <w:spacing w:before="0" w:after="160"/>
              <w:rPr>
                <w:sz w:val="16"/>
                <w:szCs w:val="16"/>
              </w:rPr>
            </w:pPr>
            <w:r>
              <w:rPr>
                <w:sz w:val="16"/>
                <w:szCs w:val="16"/>
              </w:rPr>
              <w:t>Obscure A-50</w:t>
            </w:r>
          </w:p>
        </w:tc>
        <w:tc>
          <w:tcPr>
            <w:tcW w:w="1819" w:type="dxa"/>
            <w:tcBorders/>
          </w:tcPr>
          <w:p>
            <w:pPr>
              <w:pStyle w:val="TableContents"/>
              <w:spacing w:before="0" w:after="160"/>
              <w:rPr>
                <w:sz w:val="16"/>
                <w:szCs w:val="16"/>
              </w:rPr>
            </w:pPr>
            <w:r>
              <w:rPr>
                <w:sz w:val="16"/>
                <w:szCs w:val="16"/>
              </w:rPr>
              <w:t>1630</w:t>
            </w:r>
          </w:p>
        </w:tc>
        <w:tc>
          <w:tcPr>
            <w:tcW w:w="2034" w:type="dxa"/>
            <w:tcBorders/>
          </w:tcPr>
          <w:p>
            <w:pPr>
              <w:pStyle w:val="TableContents"/>
              <w:spacing w:before="0" w:after="160"/>
              <w:rPr>
                <w:sz w:val="16"/>
                <w:szCs w:val="16"/>
              </w:rPr>
            </w:pPr>
            <w:r>
              <w:rPr>
                <w:sz w:val="16"/>
                <w:szCs w:val="16"/>
              </w:rPr>
              <w:t>1620</w:t>
            </w:r>
          </w:p>
        </w:tc>
        <w:tc>
          <w:tcPr>
            <w:tcW w:w="1707" w:type="dxa"/>
            <w:tcBorders/>
          </w:tcPr>
          <w:p>
            <w:pPr>
              <w:pStyle w:val="TableContents"/>
              <w:spacing w:before="0" w:after="160"/>
              <w:rPr>
                <w:sz w:val="16"/>
                <w:szCs w:val="16"/>
              </w:rPr>
            </w:pPr>
            <w:r>
              <w:rPr>
                <w:sz w:val="16"/>
                <w:szCs w:val="16"/>
              </w:rPr>
              <w:t>92.0%</w:t>
            </w:r>
          </w:p>
        </w:tc>
        <w:tc>
          <w:tcPr>
            <w:tcW w:w="1931" w:type="dxa"/>
            <w:tcBorders/>
          </w:tcPr>
          <w:p>
            <w:pPr>
              <w:pStyle w:val="TableContents"/>
              <w:spacing w:before="0" w:after="160"/>
              <w:rPr>
                <w:sz w:val="16"/>
                <w:szCs w:val="16"/>
              </w:rPr>
            </w:pPr>
            <w:r>
              <w:rPr>
                <w:sz w:val="16"/>
                <w:szCs w:val="16"/>
              </w:rPr>
              <w:t>88.2%</w:t>
            </w:r>
          </w:p>
        </w:tc>
      </w:tr>
      <w:tr>
        <w:trPr/>
        <w:tc>
          <w:tcPr>
            <w:tcW w:w="1528" w:type="dxa"/>
            <w:tcBorders/>
          </w:tcPr>
          <w:p>
            <w:pPr>
              <w:pStyle w:val="TableContents"/>
              <w:spacing w:before="0" w:after="160"/>
              <w:rPr>
                <w:sz w:val="16"/>
                <w:szCs w:val="16"/>
              </w:rPr>
            </w:pPr>
            <w:r>
              <w:rPr>
                <w:sz w:val="16"/>
                <w:szCs w:val="16"/>
              </w:rPr>
              <w:t>Obscure A-25</w:t>
            </w:r>
          </w:p>
        </w:tc>
        <w:tc>
          <w:tcPr>
            <w:tcW w:w="1819" w:type="dxa"/>
            <w:tcBorders/>
          </w:tcPr>
          <w:p>
            <w:pPr>
              <w:pStyle w:val="TableContents"/>
              <w:spacing w:before="0" w:after="160"/>
              <w:rPr>
                <w:sz w:val="16"/>
                <w:szCs w:val="16"/>
              </w:rPr>
            </w:pPr>
            <w:r>
              <w:rPr>
                <w:sz w:val="16"/>
                <w:szCs w:val="16"/>
              </w:rPr>
              <w:t>604</w:t>
            </w:r>
          </w:p>
        </w:tc>
        <w:tc>
          <w:tcPr>
            <w:tcW w:w="2034" w:type="dxa"/>
            <w:tcBorders/>
          </w:tcPr>
          <w:p>
            <w:pPr>
              <w:pStyle w:val="TableContents"/>
              <w:spacing w:before="0" w:after="160"/>
              <w:rPr>
                <w:sz w:val="16"/>
                <w:szCs w:val="16"/>
              </w:rPr>
            </w:pPr>
            <w:r>
              <w:rPr>
                <w:sz w:val="16"/>
                <w:szCs w:val="16"/>
              </w:rPr>
              <w:t>600</w:t>
            </w:r>
          </w:p>
        </w:tc>
        <w:tc>
          <w:tcPr>
            <w:tcW w:w="1707" w:type="dxa"/>
            <w:tcBorders/>
          </w:tcPr>
          <w:p>
            <w:pPr>
              <w:pStyle w:val="TableContents"/>
              <w:spacing w:before="0" w:after="160"/>
              <w:rPr>
                <w:sz w:val="16"/>
                <w:szCs w:val="16"/>
              </w:rPr>
            </w:pPr>
            <w:r>
              <w:rPr>
                <w:sz w:val="16"/>
                <w:szCs w:val="16"/>
              </w:rPr>
              <w:t>91.7%</w:t>
            </w:r>
          </w:p>
        </w:tc>
        <w:tc>
          <w:tcPr>
            <w:tcW w:w="1931" w:type="dxa"/>
            <w:tcBorders/>
          </w:tcPr>
          <w:p>
            <w:pPr>
              <w:pStyle w:val="TableContents"/>
              <w:spacing w:before="0" w:after="160"/>
              <w:rPr>
                <w:sz w:val="16"/>
                <w:szCs w:val="16"/>
              </w:rPr>
            </w:pPr>
            <w:r>
              <w:rPr>
                <w:sz w:val="16"/>
                <w:szCs w:val="16"/>
              </w:rPr>
              <w:t>87.4%</w:t>
            </w:r>
          </w:p>
        </w:tc>
      </w:tr>
      <w:tr>
        <w:trPr/>
        <w:tc>
          <w:tcPr>
            <w:tcW w:w="1528" w:type="dxa"/>
            <w:tcBorders/>
          </w:tcPr>
          <w:p>
            <w:pPr>
              <w:pStyle w:val="TableContents"/>
              <w:spacing w:before="0" w:after="160"/>
              <w:rPr>
                <w:sz w:val="16"/>
                <w:szCs w:val="16"/>
              </w:rPr>
            </w:pPr>
            <w:r>
              <w:rPr>
                <w:sz w:val="16"/>
                <w:szCs w:val="16"/>
              </w:rPr>
              <w:t>Obscure B</w:t>
            </w:r>
          </w:p>
        </w:tc>
        <w:tc>
          <w:tcPr>
            <w:tcW w:w="1819" w:type="dxa"/>
            <w:tcBorders/>
          </w:tcPr>
          <w:p>
            <w:pPr>
              <w:pStyle w:val="TableContents"/>
              <w:spacing w:before="0" w:after="160"/>
              <w:rPr>
                <w:sz w:val="16"/>
                <w:szCs w:val="16"/>
              </w:rPr>
            </w:pPr>
            <w:r>
              <w:rPr>
                <w:sz w:val="16"/>
                <w:szCs w:val="16"/>
              </w:rPr>
              <w:t>1</w:t>
            </w:r>
          </w:p>
        </w:tc>
        <w:tc>
          <w:tcPr>
            <w:tcW w:w="2034" w:type="dxa"/>
            <w:tcBorders/>
          </w:tcPr>
          <w:p>
            <w:pPr>
              <w:pStyle w:val="TableContents"/>
              <w:spacing w:before="0" w:after="160"/>
              <w:rPr>
                <w:sz w:val="16"/>
                <w:szCs w:val="16"/>
              </w:rPr>
            </w:pPr>
            <w:r>
              <w:rPr>
                <w:sz w:val="16"/>
                <w:szCs w:val="16"/>
              </w:rPr>
              <w:t>1</w:t>
            </w:r>
          </w:p>
        </w:tc>
        <w:tc>
          <w:tcPr>
            <w:tcW w:w="1707" w:type="dxa"/>
            <w:tcBorders/>
          </w:tcPr>
          <w:p>
            <w:pPr>
              <w:pStyle w:val="Normal"/>
              <w:spacing w:before="0" w:after="160"/>
              <w:rPr>
                <w:sz w:val="16"/>
                <w:szCs w:val="16"/>
              </w:rPr>
            </w:pPr>
            <w:r>
              <w:rPr>
                <w:sz w:val="16"/>
                <w:szCs w:val="16"/>
              </w:rPr>
              <w:t>88.</w:t>
            </w:r>
            <w:r>
              <w:rPr>
                <w:sz w:val="16"/>
                <w:szCs w:val="16"/>
              </w:rPr>
              <w:t>6</w:t>
            </w:r>
            <w:r>
              <w:rPr>
                <w:sz w:val="16"/>
                <w:szCs w:val="16"/>
              </w:rPr>
              <w:t>%</w:t>
            </w:r>
          </w:p>
        </w:tc>
        <w:tc>
          <w:tcPr>
            <w:tcW w:w="1931" w:type="dxa"/>
            <w:tcBorders/>
          </w:tcPr>
          <w:p>
            <w:pPr>
              <w:pStyle w:val="Normal"/>
              <w:spacing w:before="0" w:after="160"/>
              <w:rPr>
                <w:sz w:val="16"/>
                <w:szCs w:val="16"/>
              </w:rPr>
            </w:pPr>
            <w:r>
              <w:rPr>
                <w:sz w:val="16"/>
                <w:szCs w:val="16"/>
              </w:rPr>
              <w:t>88.</w:t>
            </w:r>
            <w:r>
              <w:rPr>
                <w:sz w:val="16"/>
                <w:szCs w:val="16"/>
              </w:rPr>
              <w:t>6</w:t>
            </w:r>
            <w:r>
              <w:rPr>
                <w:sz w:val="16"/>
                <w:szCs w:val="16"/>
              </w:rPr>
              <w:t>%</w:t>
            </w:r>
          </w:p>
        </w:tc>
      </w:tr>
      <w:tr>
        <w:trPr/>
        <w:tc>
          <w:tcPr>
            <w:tcW w:w="1528" w:type="dxa"/>
            <w:tcBorders/>
          </w:tcPr>
          <w:p>
            <w:pPr>
              <w:pStyle w:val="TableContents"/>
              <w:spacing w:before="0" w:after="160"/>
              <w:rPr>
                <w:sz w:val="16"/>
                <w:szCs w:val="16"/>
              </w:rPr>
            </w:pPr>
            <w:r>
              <w:rPr>
                <w:sz w:val="16"/>
                <w:szCs w:val="16"/>
              </w:rPr>
              <w:t>Obscure B-50</w:t>
            </w:r>
          </w:p>
        </w:tc>
        <w:tc>
          <w:tcPr>
            <w:tcW w:w="1819" w:type="dxa"/>
            <w:tcBorders/>
          </w:tcPr>
          <w:p>
            <w:pPr>
              <w:pStyle w:val="TableContents"/>
              <w:spacing w:before="0" w:after="160"/>
              <w:rPr>
                <w:sz w:val="16"/>
                <w:szCs w:val="16"/>
              </w:rPr>
            </w:pPr>
            <w:r>
              <w:rPr>
                <w:sz w:val="16"/>
                <w:szCs w:val="16"/>
              </w:rPr>
              <w:t>1</w:t>
            </w:r>
          </w:p>
        </w:tc>
        <w:tc>
          <w:tcPr>
            <w:tcW w:w="2034" w:type="dxa"/>
            <w:tcBorders/>
          </w:tcPr>
          <w:p>
            <w:pPr>
              <w:pStyle w:val="TableContents"/>
              <w:spacing w:before="0" w:after="160"/>
              <w:rPr>
                <w:sz w:val="16"/>
                <w:szCs w:val="16"/>
              </w:rPr>
            </w:pPr>
            <w:r>
              <w:rPr>
                <w:sz w:val="16"/>
                <w:szCs w:val="16"/>
              </w:rPr>
              <w:t>1</w:t>
            </w:r>
          </w:p>
        </w:tc>
        <w:tc>
          <w:tcPr>
            <w:tcW w:w="1707" w:type="dxa"/>
            <w:tcBorders/>
          </w:tcPr>
          <w:p>
            <w:pPr>
              <w:pStyle w:val="TableContents"/>
              <w:spacing w:before="0" w:after="160"/>
              <w:rPr>
                <w:sz w:val="16"/>
                <w:szCs w:val="16"/>
              </w:rPr>
            </w:pPr>
            <w:r>
              <w:rPr>
                <w:sz w:val="16"/>
                <w:szCs w:val="16"/>
              </w:rPr>
              <w:t>88.4%</w:t>
            </w:r>
          </w:p>
        </w:tc>
        <w:tc>
          <w:tcPr>
            <w:tcW w:w="1931" w:type="dxa"/>
            <w:tcBorders/>
          </w:tcPr>
          <w:p>
            <w:pPr>
              <w:pStyle w:val="TableContents"/>
              <w:spacing w:before="0" w:after="160"/>
              <w:rPr>
                <w:sz w:val="16"/>
                <w:szCs w:val="16"/>
              </w:rPr>
            </w:pPr>
            <w:r>
              <w:rPr>
                <w:sz w:val="16"/>
                <w:szCs w:val="16"/>
              </w:rPr>
              <w:t>88.5%</w:t>
            </w:r>
          </w:p>
        </w:tc>
      </w:tr>
      <w:tr>
        <w:trPr/>
        <w:tc>
          <w:tcPr>
            <w:tcW w:w="1528" w:type="dxa"/>
            <w:tcBorders/>
          </w:tcPr>
          <w:p>
            <w:pPr>
              <w:pStyle w:val="TableContents"/>
              <w:spacing w:before="0" w:after="160"/>
              <w:rPr>
                <w:sz w:val="16"/>
                <w:szCs w:val="16"/>
              </w:rPr>
            </w:pPr>
            <w:r>
              <w:rPr>
                <w:sz w:val="16"/>
                <w:szCs w:val="16"/>
              </w:rPr>
              <w:t>Obscure B-25</w:t>
            </w:r>
          </w:p>
        </w:tc>
        <w:tc>
          <w:tcPr>
            <w:tcW w:w="1819" w:type="dxa"/>
            <w:tcBorders/>
          </w:tcPr>
          <w:p>
            <w:pPr>
              <w:pStyle w:val="TableContents"/>
              <w:spacing w:before="0" w:after="160"/>
              <w:rPr>
                <w:sz w:val="16"/>
                <w:szCs w:val="16"/>
              </w:rPr>
            </w:pPr>
            <w:r>
              <w:rPr>
                <w:sz w:val="16"/>
                <w:szCs w:val="16"/>
              </w:rPr>
              <w:t xml:space="preserve">1 </w:t>
            </w:r>
          </w:p>
        </w:tc>
        <w:tc>
          <w:tcPr>
            <w:tcW w:w="2034" w:type="dxa"/>
            <w:tcBorders/>
          </w:tcPr>
          <w:p>
            <w:pPr>
              <w:pStyle w:val="TableContents"/>
              <w:spacing w:before="0" w:after="160"/>
              <w:rPr>
                <w:sz w:val="16"/>
                <w:szCs w:val="16"/>
              </w:rPr>
            </w:pPr>
            <w:r>
              <w:rPr>
                <w:sz w:val="16"/>
                <w:szCs w:val="16"/>
              </w:rPr>
              <w:t>1</w:t>
            </w:r>
          </w:p>
        </w:tc>
        <w:tc>
          <w:tcPr>
            <w:tcW w:w="1707" w:type="dxa"/>
            <w:tcBorders/>
          </w:tcPr>
          <w:p>
            <w:pPr>
              <w:pStyle w:val="TableContents"/>
              <w:spacing w:before="0" w:after="160"/>
              <w:rPr>
                <w:sz w:val="16"/>
                <w:szCs w:val="16"/>
              </w:rPr>
            </w:pPr>
            <w:r>
              <w:rPr>
                <w:sz w:val="16"/>
                <w:szCs w:val="16"/>
              </w:rPr>
              <w:t>88.4%</w:t>
            </w:r>
          </w:p>
        </w:tc>
        <w:tc>
          <w:tcPr>
            <w:tcW w:w="1931" w:type="dxa"/>
            <w:tcBorders/>
          </w:tcPr>
          <w:p>
            <w:pPr>
              <w:pStyle w:val="TableContents"/>
              <w:spacing w:before="0" w:after="160"/>
              <w:rPr>
                <w:sz w:val="16"/>
                <w:szCs w:val="16"/>
              </w:rPr>
            </w:pPr>
            <w:r>
              <w:rPr>
                <w:sz w:val="16"/>
                <w:szCs w:val="16"/>
              </w:rPr>
              <w:t>88.5%</w:t>
            </w:r>
          </w:p>
        </w:tc>
      </w:tr>
    </w:tbl>
    <w:p>
      <w:pPr>
        <w:pStyle w:val="Normal"/>
        <w:rPr/>
      </w:pPr>
      <w:r>
        <w:rPr/>
        <w:t xml:space="preserve">From the results of method 1 you can see clear differences in the structure of the decision trees fitted on Obscure A (and its scaled variants) and Obscure B (and its scaled variants). As the number of total instances was scaled down the size of the overall tree’s produced got smaller, however the differences in the size of the trees remained significant. The trees produced by all scaled variants of Obscure B contained a single node, indicating they found no useful features and thus allowed us to easily conclude that Obscure B-50 and Obscure B-25 were the shuffled datasets. </w:t>
      </w:r>
    </w:p>
    <w:p>
      <w:pPr>
        <w:pStyle w:val="Normal"/>
        <w:rPr/>
      </w:pPr>
      <w:r>
        <w:rPr/>
        <w:t xml:space="preserve">From the results of method 2 you can see the as the </w:t>
      </w:r>
      <w:r>
        <w:rPr/>
        <w:t xml:space="preserve">Obscure A </w:t>
      </w:r>
      <w:r>
        <w:rPr/>
        <w:t xml:space="preserve">dataset </w:t>
      </w:r>
      <w:r>
        <w:rPr>
          <w:rFonts w:eastAsia="Calibri" w:cs="" w:cstheme="minorBidi" w:eastAsiaTheme="minorHAnsi"/>
          <w:color w:val="auto"/>
          <w:kern w:val="0"/>
          <w:sz w:val="22"/>
          <w:szCs w:val="22"/>
          <w:lang w:val="en-NZ" w:eastAsia="en-US" w:bidi="ar-SA"/>
        </w:rPr>
        <w:t>is scaled down</w:t>
      </w:r>
      <w:r>
        <w:rPr/>
        <w:t xml:space="preserve"> the </w:t>
      </w:r>
      <w:r>
        <w:rPr/>
        <w:t xml:space="preserve">unrandomised accuracy decreases slightly. However, the difference between the unrandomised and randomised accuracies of all variants of Obscure A is signficiant enough to indicate that Obscure A must be the dataset with a signal. In comparision the unrandomised and randomised accuarcies of Obscure B when scaled down remains similar, indicating that Obscure B (and its variants) is the shuffled dataset. </w:t>
      </w:r>
    </w:p>
    <w:p>
      <w:pPr>
        <w:pStyle w:val="Heading2"/>
        <w:rPr/>
      </w:pPr>
      <w:r>
        <w:rPr/>
        <w:t>Part D</w:t>
      </w:r>
    </w:p>
    <w:p>
      <w:pPr>
        <w:pStyle w:val="Normal"/>
        <w:rPr/>
      </w:pPr>
      <w:r>
        <w:rPr/>
        <w:t xml:space="preserve">Method 1 (examing the tree structure) is more reliable </w:t>
      </w:r>
      <w:r>
        <w:rPr>
          <w:rFonts w:eastAsia="Calibri" w:cs="" w:cstheme="minorBidi" w:eastAsiaTheme="minorHAnsi"/>
          <w:color w:val="auto"/>
          <w:kern w:val="0"/>
          <w:sz w:val="22"/>
          <w:szCs w:val="22"/>
          <w:lang w:val="en-NZ" w:eastAsia="en-US" w:bidi="ar-SA"/>
        </w:rPr>
        <w:t xml:space="preserve">than Method 2 (re-shuffling data). </w:t>
      </w:r>
      <w:r>
        <w:rPr>
          <w:rFonts w:eastAsia="Calibri" w:cs="" w:cstheme="minorBidi" w:eastAsiaTheme="minorHAnsi"/>
          <w:color w:val="auto"/>
          <w:kern w:val="0"/>
          <w:sz w:val="22"/>
          <w:szCs w:val="22"/>
          <w:lang w:val="en-NZ" w:eastAsia="en-US" w:bidi="ar-SA"/>
        </w:rPr>
        <w:t>The key reason for this is when</w:t>
      </w:r>
      <w:r>
        <w:rPr>
          <w:rFonts w:eastAsia="Calibri" w:cs="" w:cstheme="minorBidi" w:eastAsiaTheme="minorHAnsi"/>
          <w:color w:val="auto"/>
          <w:kern w:val="0"/>
          <w:sz w:val="22"/>
          <w:szCs w:val="22"/>
          <w:lang w:val="en-NZ" w:eastAsia="en-US" w:bidi="ar-SA"/>
        </w:rPr>
        <w:t xml:space="preserve"> randomly shuffling there is the chance that shuffling does not truly simulate randomness. For example in the case where shuffling only affects the majority class labels. In this scenario, the randomised and unrandomised accuracy of the Obscure A dataset would be similar, rendering method 2 with insufficient evidence to decide which dataset has been shuffled.</w:t>
      </w:r>
    </w:p>
    <w:p>
      <w:pPr>
        <w:pStyle w:val="Normal"/>
        <w:rPr>
          <w:rFonts w:ascii="Univers for KPMG Light" w:hAnsi="Univers for KPMG Light" w:eastAsia="Calibri" w:cs="" w:cstheme="minorBidi" w:eastAsiaTheme="minorHAnsi"/>
          <w:color w:val="auto"/>
          <w:kern w:val="0"/>
          <w:sz w:val="22"/>
          <w:szCs w:val="22"/>
          <w:lang w:val="en-NZ" w:eastAsia="en-US" w:bidi="ar-SA"/>
        </w:rPr>
      </w:pPr>
      <w:r>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Univers for KPMG Light">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NZ"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Univers for KPMG Light" w:hAnsi="Univers for KPMG Light" w:eastAsia="Calibri" w:cs="" w:cstheme="minorBidi" w:eastAsiaTheme="minorHAnsi"/>
      <w:color w:val="auto"/>
      <w:kern w:val="0"/>
      <w:sz w:val="22"/>
      <w:szCs w:val="22"/>
      <w:lang w:val="en-NZ" w:eastAsia="en-US" w:bidi="ar-SA"/>
    </w:rPr>
  </w:style>
  <w:style w:type="paragraph" w:styleId="Heading1">
    <w:name w:val="Heading 1"/>
    <w:basedOn w:val="Normal"/>
    <w:next w:val="Normal"/>
    <w:link w:val="Heading1Char"/>
    <w:uiPriority w:val="9"/>
    <w:qFormat/>
    <w:rsid w:val="00476ba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76ba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76bab"/>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476bab"/>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76bab"/>
    <w:rPr>
      <w:rFonts w:eastAsia="" w:eastAsiaTheme="minorEastAsia"/>
      <w:color w:val="5A5A5A" w:themeColor="text1" w:themeTint="a5"/>
      <w:spacing w:val="15"/>
    </w:rPr>
  </w:style>
  <w:style w:type="character" w:styleId="Heading2Char" w:customStyle="1">
    <w:name w:val="Heading 2 Char"/>
    <w:basedOn w:val="DefaultParagraphFont"/>
    <w:link w:val="Heading2"/>
    <w:uiPriority w:val="9"/>
    <w:qFormat/>
    <w:rsid w:val="00476bab"/>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476ba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76bab"/>
    <w:pPr/>
    <w:rPr>
      <w:rFonts w:ascii="Calibri" w:hAnsi="Calibri" w:eastAsia="" w:asciiTheme="minorHAnsi" w:eastAsiaTheme="minorEastAsia" w:hAnsiTheme="minorHAnsi"/>
      <w:color w:val="5A5A5A" w:themeColor="text1" w:themeTint="a5"/>
      <w:spacing w:val="15"/>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Application>LibreOffice/6.4.1.2$Linux_X86_64 LibreOffice_project/e1ad903d8acbc5f5b474f1d8ec3defef24b8c46b</Application>
  <Pages>2</Pages>
  <Words>617</Words>
  <Characters>3076</Characters>
  <CharactersWithSpaces>3651</CharactersWithSpaces>
  <Paragraphs>51</Paragraphs>
  <Company>KPMG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2020-03-08T22:56:00Z</dcterms:created>
  <dc:creator>Cheena, Hasnain</dc:creator>
  <dc:description/>
  <dc:language>en-NZ</dc:language>
  <cp:lastModifiedBy/>
  <dcterms:modified xsi:type="dcterms:W3CDTF">2020-03-10T20:07:11Z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KPMG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