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rPr>
      </w:pPr>
      <w:r>
        <w:rPr>
          <w:sz w:val="48"/>
          <w:szCs w:val="48"/>
        </w:rPr>
        <w:t>Compsci 361 Assignment 1</w:t>
      </w:r>
    </w:p>
    <w:p>
      <w:pPr>
        <w:pStyle w:val="Subtitle"/>
        <w:rPr/>
      </w:pPr>
      <w:r>
        <w:rPr/>
        <w:t>Hasnain Cheena</w:t>
        <w:br/>
        <w:t>190411106</w:t>
        <w:br/>
        <w:t>hche737</w:t>
      </w:r>
    </w:p>
    <w:p>
      <w:pPr>
        <w:pStyle w:val="Heading2"/>
        <w:rPr/>
      </w:pPr>
      <w:r>
        <w:rPr/>
        <w:t>Part A</w:t>
      </w:r>
    </w:p>
    <w:p>
      <w:pPr>
        <w:pStyle w:val="Normal"/>
        <w:rPr/>
      </w:pPr>
      <w:r>
        <w:rPr/>
        <w:t>Obscure</w:t>
      </w:r>
      <w:r>
        <w:rPr/>
        <w:t xml:space="preserve">d </w:t>
      </w:r>
      <w:r>
        <w:rPr/>
        <w:t xml:space="preserve">A is the real file while Obscured B is the shuffled dataset. </w:t>
      </w:r>
    </w:p>
    <w:p>
      <w:pPr>
        <w:pStyle w:val="Heading2"/>
        <w:rPr/>
      </w:pPr>
      <w:r>
        <w:rPr/>
        <w:t>Part B:</w:t>
      </w:r>
    </w:p>
    <w:p>
      <w:pPr>
        <w:pStyle w:val="Normal"/>
        <w:rPr>
          <w:i/>
          <w:i/>
          <w:iCs/>
        </w:rPr>
      </w:pPr>
      <w:r>
        <w:rPr>
          <w:i/>
          <w:iCs/>
        </w:rPr>
        <w:t xml:space="preserve">Method 1: </w:t>
      </w:r>
      <w:r>
        <w:rPr>
          <w:rFonts w:eastAsia="Calibri" w:cs="" w:cstheme="minorBidi" w:eastAsiaTheme="minorHAnsi"/>
          <w:i/>
          <w:iCs/>
          <w:color w:val="auto"/>
          <w:kern w:val="0"/>
          <w:sz w:val="22"/>
          <w:szCs w:val="22"/>
          <w:lang w:val="en-NZ" w:eastAsia="en-US" w:bidi="ar-SA"/>
        </w:rPr>
        <w:t>Examine size and structure</w:t>
      </w:r>
      <w:r>
        <w:rPr>
          <w:rFonts w:eastAsia="Calibri" w:cs="" w:cstheme="minorBidi" w:eastAsiaTheme="minorHAnsi"/>
          <w:i/>
          <w:iCs/>
          <w:color w:val="auto"/>
          <w:kern w:val="0"/>
          <w:sz w:val="22"/>
          <w:szCs w:val="22"/>
          <w:lang w:val="en-NZ" w:eastAsia="en-US" w:bidi="ar-SA"/>
        </w:rPr>
        <w:t xml:space="preserve"> of the tree</w:t>
      </w:r>
    </w:p>
    <w:p>
      <w:pPr>
        <w:pStyle w:val="Normal"/>
        <w:rPr/>
      </w:pPr>
      <w:r>
        <w:rPr/>
        <w:t>The first method used was to examine the structure of the decision tree and nodes of the decision tree produced. The decision tree created by Obscure</w:t>
      </w:r>
      <w:r>
        <w:rPr/>
        <w:t>d</w:t>
      </w:r>
      <w:r>
        <w:rPr/>
        <w:t xml:space="preserve"> A had a size of 1636 and had 1623 leaves. In comparision the decision tree created by Obscure</w:t>
      </w:r>
      <w:r>
        <w:rPr/>
        <w:t>d</w:t>
      </w:r>
      <w:r>
        <w:rPr/>
        <w:t xml:space="preserve"> B had a size of 1 and had 1 leaf. </w:t>
      </w:r>
      <w:r>
        <w:rPr/>
        <w:t>This means t</w:t>
      </w:r>
      <w:r>
        <w:rPr/>
        <w:t>he tree fitted to Obscure</w:t>
      </w:r>
      <w:r>
        <w:rPr/>
        <w:t>d</w:t>
      </w:r>
      <w:r>
        <w:rPr/>
        <w:t xml:space="preserve"> B had no </w:t>
      </w:r>
      <w:r>
        <w:rPr>
          <w:rFonts w:eastAsia="Calibri" w:cs="" w:cstheme="minorBidi" w:eastAsiaTheme="minorHAnsi"/>
          <w:color w:val="auto"/>
          <w:kern w:val="0"/>
          <w:sz w:val="22"/>
          <w:szCs w:val="22"/>
          <w:lang w:val="en-NZ" w:eastAsia="en-US" w:bidi="ar-SA"/>
        </w:rPr>
        <w:t>internal</w:t>
      </w:r>
      <w:r>
        <w:rPr/>
        <w:t xml:space="preserve"> nodes meaning that no attributes were used during the classification. Therefore, the tree found no useful features </w:t>
      </w:r>
      <w:r>
        <w:rPr/>
        <w:t>during the pruning process</w:t>
      </w:r>
      <w:r>
        <w:rPr/>
        <w:t>. Hence it was concluded that Obscure</w:t>
      </w:r>
      <w:r>
        <w:rPr/>
        <w:t>d</w:t>
      </w:r>
      <w:r>
        <w:rPr/>
        <w:t xml:space="preserve"> B did not contain a signal and was the shuffled dataset.</w:t>
      </w:r>
    </w:p>
    <w:p>
      <w:pPr>
        <w:pStyle w:val="Normal"/>
        <w:rPr>
          <w:i/>
          <w:i/>
          <w:iCs/>
        </w:rPr>
      </w:pPr>
      <w:r>
        <w:rPr>
          <w:i/>
          <w:iCs/>
        </w:rPr>
        <w:t xml:space="preserve">Method 2: Re-shuffle the data </w:t>
      </w:r>
    </w:p>
    <w:p>
      <w:pPr>
        <w:pStyle w:val="Normal"/>
        <w:rPr/>
      </w:pPr>
      <w:r>
        <w:rPr/>
        <w:t xml:space="preserve">The second method involved fitting a decision tree on both datasets with 10-fold cross-validation, </w:t>
      </w:r>
      <w:r>
        <w:rPr/>
        <w:t>t</w:t>
      </w:r>
      <w:r>
        <w:rPr/>
        <w:t xml:space="preserve">hen shuffling both datasets </w:t>
      </w:r>
      <w:r>
        <w:rPr/>
        <w:t xml:space="preserve">and </w:t>
      </w:r>
      <w:r>
        <w:rPr/>
        <w:t>re-running the training process with 10-fold cross-validation and comparing the results to before shuffling. Prior to shuffling the accuracy for Obscure</w:t>
      </w:r>
      <w:r>
        <w:rPr/>
        <w:t>d</w:t>
      </w:r>
      <w:r>
        <w:rPr/>
        <w:t xml:space="preserve"> A was 92.1% and for Obscure</w:t>
      </w:r>
      <w:r>
        <w:rPr/>
        <w:t>d</w:t>
      </w:r>
      <w:r>
        <w:rPr/>
        <w:t xml:space="preserve"> B was 88.6%. After shuffling the accuracy for Obscure</w:t>
      </w:r>
      <w:r>
        <w:rPr/>
        <w:t>d</w:t>
      </w:r>
      <w:r>
        <w:rPr/>
        <w:t xml:space="preserve"> A dropped down to 88.6% and for Obscure</w:t>
      </w:r>
      <w:r>
        <w:rPr/>
        <w:t>d</w:t>
      </w:r>
      <w:r>
        <w:rPr/>
        <w:t xml:space="preserve"> B the accuracy remained at 88.6%. Therefore, as the accuracy for Obscure</w:t>
      </w:r>
      <w:r>
        <w:rPr/>
        <w:t>d</w:t>
      </w:r>
      <w:r>
        <w:rPr/>
        <w:t xml:space="preserve"> A decreased when the dataset was </w:t>
      </w:r>
      <w:r>
        <w:rPr>
          <w:rFonts w:eastAsia="Calibri" w:cs="" w:cstheme="minorBidi" w:eastAsiaTheme="minorHAnsi"/>
          <w:color w:val="auto"/>
          <w:kern w:val="0"/>
          <w:sz w:val="22"/>
          <w:szCs w:val="22"/>
          <w:lang w:val="en-NZ" w:eastAsia="en-US" w:bidi="ar-SA"/>
        </w:rPr>
        <w:t>randomly shuffled, Obscure</w:t>
      </w:r>
      <w:r>
        <w:rPr>
          <w:rFonts w:eastAsia="Calibri" w:cs="" w:cstheme="minorBidi" w:eastAsiaTheme="minorHAnsi"/>
          <w:color w:val="auto"/>
          <w:kern w:val="0"/>
          <w:sz w:val="22"/>
          <w:szCs w:val="22"/>
          <w:lang w:val="en-NZ" w:eastAsia="en-US" w:bidi="ar-SA"/>
        </w:rPr>
        <w:t>d</w:t>
      </w:r>
      <w:r>
        <w:rPr>
          <w:rFonts w:eastAsia="Calibri" w:cs="" w:cstheme="minorBidi" w:eastAsiaTheme="minorHAnsi"/>
          <w:color w:val="auto"/>
          <w:kern w:val="0"/>
          <w:sz w:val="22"/>
          <w:szCs w:val="22"/>
          <w:lang w:val="en-NZ" w:eastAsia="en-US" w:bidi="ar-SA"/>
        </w:rPr>
        <w:t xml:space="preserve"> A is the real dataset. Furthermore, as the accuracy for </w:t>
      </w:r>
      <w:r>
        <w:rPr/>
        <w:t>Obscure</w:t>
      </w:r>
      <w:r>
        <w:rPr/>
        <w:t>d</w:t>
      </w:r>
      <w:r>
        <w:rPr/>
        <w:t xml:space="preserve"> B remained similar before and after randomisation, Obscure</w:t>
      </w:r>
      <w:r>
        <w:rPr/>
        <w:t>d</w:t>
      </w:r>
      <w:r>
        <w:rPr/>
        <w:t xml:space="preserve"> B </w:t>
      </w:r>
      <w:r>
        <w:rPr>
          <w:rFonts w:eastAsia="Calibri" w:cs="" w:cstheme="minorBidi" w:eastAsiaTheme="minorHAnsi"/>
          <w:color w:val="auto"/>
          <w:kern w:val="0"/>
          <w:sz w:val="22"/>
          <w:szCs w:val="22"/>
          <w:lang w:val="en-NZ" w:eastAsia="en-US" w:bidi="ar-SA"/>
        </w:rPr>
        <w:t>does</w:t>
      </w:r>
      <w:r>
        <w:rPr/>
        <w:t xml:space="preserve"> not contain a signal and was the shuffled dataset. </w:t>
      </w:r>
    </w:p>
    <w:p>
      <w:pPr>
        <w:pStyle w:val="Heading2"/>
        <w:rPr/>
      </w:pPr>
      <w:r>
        <w:rPr/>
        <w:t>Part C</w:t>
      </w:r>
    </w:p>
    <w:p>
      <w:pPr>
        <w:pStyle w:val="Normal"/>
        <w:rPr/>
      </w:pPr>
      <w:r>
        <w:rPr/>
        <w:t xml:space="preserve">Both methods (described above) were passed scaled down versions of Obscured A and Obscured B. The results are summarized below: </w:t>
      </w:r>
    </w:p>
    <w:tbl>
      <w:tblPr>
        <w:tblW w:w="9019" w:type="dxa"/>
        <w:jc w:val="left"/>
        <w:tblInd w:w="0" w:type="dxa"/>
        <w:tblCellMar>
          <w:top w:w="0" w:type="dxa"/>
          <w:left w:w="0" w:type="dxa"/>
          <w:bottom w:w="0" w:type="dxa"/>
          <w:right w:w="0" w:type="dxa"/>
        </w:tblCellMar>
      </w:tblPr>
      <w:tblGrid>
        <w:gridCol w:w="1527"/>
        <w:gridCol w:w="1819"/>
        <w:gridCol w:w="2034"/>
        <w:gridCol w:w="1708"/>
        <w:gridCol w:w="1931"/>
      </w:tblGrid>
      <w:tr>
        <w:trPr/>
        <w:tc>
          <w:tcPr>
            <w:tcW w:w="1527" w:type="dxa"/>
            <w:tcBorders/>
          </w:tcPr>
          <w:p>
            <w:pPr>
              <w:pStyle w:val="TableContents"/>
              <w:spacing w:before="0" w:after="160"/>
              <w:rPr>
                <w:b/>
                <w:b/>
                <w:bCs/>
                <w:sz w:val="16"/>
                <w:szCs w:val="16"/>
              </w:rPr>
            </w:pPr>
            <w:r>
              <w:rPr>
                <w:b/>
                <w:bCs/>
                <w:sz w:val="16"/>
                <w:szCs w:val="16"/>
              </w:rPr>
              <w:t>Dataset</w:t>
            </w:r>
          </w:p>
        </w:tc>
        <w:tc>
          <w:tcPr>
            <w:tcW w:w="1819" w:type="dxa"/>
            <w:tcBorders/>
          </w:tcPr>
          <w:p>
            <w:pPr>
              <w:pStyle w:val="TableContents"/>
              <w:spacing w:before="0" w:after="160"/>
              <w:rPr>
                <w:b/>
                <w:b/>
                <w:bCs/>
                <w:sz w:val="16"/>
                <w:szCs w:val="16"/>
              </w:rPr>
            </w:pPr>
            <w:r>
              <w:rPr>
                <w:b/>
                <w:bCs/>
                <w:sz w:val="16"/>
                <w:szCs w:val="16"/>
              </w:rPr>
              <w:t>Total Nodes</w:t>
            </w:r>
          </w:p>
        </w:tc>
        <w:tc>
          <w:tcPr>
            <w:tcW w:w="2034" w:type="dxa"/>
            <w:tcBorders/>
          </w:tcPr>
          <w:p>
            <w:pPr>
              <w:pStyle w:val="TableContents"/>
              <w:spacing w:before="0" w:after="160"/>
              <w:rPr>
                <w:b/>
                <w:b/>
                <w:bCs/>
                <w:sz w:val="16"/>
                <w:szCs w:val="16"/>
              </w:rPr>
            </w:pPr>
            <w:r>
              <w:rPr>
                <w:b/>
                <w:bCs/>
                <w:sz w:val="16"/>
                <w:szCs w:val="16"/>
              </w:rPr>
              <w:t>Number of Leaves</w:t>
            </w:r>
          </w:p>
        </w:tc>
        <w:tc>
          <w:tcPr>
            <w:tcW w:w="1708" w:type="dxa"/>
            <w:tcBorders/>
          </w:tcPr>
          <w:p>
            <w:pPr>
              <w:pStyle w:val="TableContents"/>
              <w:spacing w:before="0" w:after="160"/>
              <w:rPr>
                <w:rFonts w:ascii="Univers for KPMG Light" w:hAnsi="Univers for KPMG Light" w:eastAsia="Calibri" w:cs="" w:cstheme="minorBidi" w:eastAsiaTheme="minorHAnsi"/>
                <w:b/>
                <w:b/>
                <w:bCs/>
                <w:color w:val="auto"/>
                <w:kern w:val="0"/>
                <w:sz w:val="16"/>
                <w:szCs w:val="16"/>
                <w:lang w:val="en-NZ" w:eastAsia="en-US" w:bidi="ar-SA"/>
              </w:rPr>
            </w:pPr>
            <w:r>
              <w:rPr>
                <w:rFonts w:eastAsia="Calibri" w:cs="" w:cstheme="minorBidi" w:eastAsiaTheme="minorHAnsi"/>
                <w:b/>
                <w:bCs/>
                <w:color w:val="auto"/>
                <w:kern w:val="0"/>
                <w:sz w:val="16"/>
                <w:szCs w:val="16"/>
                <w:lang w:val="en-NZ" w:eastAsia="en-US" w:bidi="ar-SA"/>
              </w:rPr>
              <w:t>Accuracy</w:t>
            </w:r>
          </w:p>
        </w:tc>
        <w:tc>
          <w:tcPr>
            <w:tcW w:w="1931" w:type="dxa"/>
            <w:tcBorders/>
          </w:tcPr>
          <w:p>
            <w:pPr>
              <w:pStyle w:val="TableContents"/>
              <w:spacing w:before="0" w:after="160"/>
              <w:rPr>
                <w:rFonts w:ascii="Univers for KPMG Light" w:hAnsi="Univers for KPMG Light" w:eastAsia="Calibri" w:cs="" w:cstheme="minorBidi" w:eastAsiaTheme="minorHAnsi"/>
                <w:b/>
                <w:b/>
                <w:bCs/>
                <w:color w:val="auto"/>
                <w:kern w:val="0"/>
                <w:sz w:val="16"/>
                <w:szCs w:val="16"/>
                <w:lang w:val="en-NZ" w:eastAsia="en-US" w:bidi="ar-SA"/>
              </w:rPr>
            </w:pPr>
            <w:r>
              <w:rPr>
                <w:rFonts w:eastAsia="Calibri" w:cs="" w:cstheme="minorBidi" w:eastAsiaTheme="minorHAnsi"/>
                <w:b/>
                <w:bCs/>
                <w:color w:val="auto"/>
                <w:kern w:val="0"/>
                <w:sz w:val="16"/>
                <w:szCs w:val="16"/>
                <w:lang w:val="en-NZ" w:eastAsia="en-US" w:bidi="ar-SA"/>
              </w:rPr>
              <w:t>Randomised Accuracy</w:t>
            </w:r>
          </w:p>
        </w:tc>
      </w:tr>
      <w:tr>
        <w:trPr/>
        <w:tc>
          <w:tcPr>
            <w:tcW w:w="1527" w:type="dxa"/>
            <w:tcBorders/>
          </w:tcPr>
          <w:p>
            <w:pPr>
              <w:pStyle w:val="TableContents"/>
              <w:spacing w:before="0" w:after="160"/>
              <w:rPr>
                <w:sz w:val="16"/>
                <w:szCs w:val="16"/>
              </w:rPr>
            </w:pPr>
            <w:r>
              <w:rPr>
                <w:sz w:val="16"/>
                <w:szCs w:val="16"/>
              </w:rPr>
              <w:t>Obscure A</w:t>
            </w:r>
          </w:p>
        </w:tc>
        <w:tc>
          <w:tcPr>
            <w:tcW w:w="1819" w:type="dxa"/>
            <w:tcBorders/>
          </w:tcPr>
          <w:p>
            <w:pPr>
              <w:pStyle w:val="TableContents"/>
              <w:spacing w:before="0" w:after="160"/>
              <w:rPr>
                <w:sz w:val="16"/>
                <w:szCs w:val="16"/>
              </w:rPr>
            </w:pPr>
            <w:r>
              <w:rPr>
                <w:sz w:val="16"/>
                <w:szCs w:val="16"/>
              </w:rPr>
              <w:t>1636</w:t>
            </w:r>
          </w:p>
        </w:tc>
        <w:tc>
          <w:tcPr>
            <w:tcW w:w="2034" w:type="dxa"/>
            <w:tcBorders/>
          </w:tcPr>
          <w:p>
            <w:pPr>
              <w:pStyle w:val="TableContents"/>
              <w:spacing w:before="0" w:after="160"/>
              <w:rPr>
                <w:sz w:val="16"/>
                <w:szCs w:val="16"/>
              </w:rPr>
            </w:pPr>
            <w:r>
              <w:rPr>
                <w:sz w:val="16"/>
                <w:szCs w:val="16"/>
              </w:rPr>
              <w:t>1623</w:t>
            </w:r>
          </w:p>
        </w:tc>
        <w:tc>
          <w:tcPr>
            <w:tcW w:w="1708" w:type="dxa"/>
            <w:tcBorders/>
          </w:tcPr>
          <w:p>
            <w:pPr>
              <w:pStyle w:val="Normal"/>
              <w:spacing w:before="0" w:after="160"/>
              <w:rPr>
                <w:sz w:val="16"/>
                <w:szCs w:val="16"/>
              </w:rPr>
            </w:pPr>
            <w:r>
              <w:rPr>
                <w:sz w:val="16"/>
                <w:szCs w:val="16"/>
              </w:rPr>
              <w:t>92.1%</w:t>
            </w:r>
          </w:p>
        </w:tc>
        <w:tc>
          <w:tcPr>
            <w:tcW w:w="1931" w:type="dxa"/>
            <w:tcBorders/>
          </w:tcPr>
          <w:p>
            <w:pPr>
              <w:pStyle w:val="Normal"/>
              <w:spacing w:before="0" w:after="160"/>
              <w:rPr>
                <w:sz w:val="16"/>
                <w:szCs w:val="16"/>
              </w:rPr>
            </w:pPr>
            <w:r>
              <w:rPr>
                <w:sz w:val="16"/>
                <w:szCs w:val="16"/>
              </w:rPr>
              <w:t>88.6%</w:t>
            </w:r>
          </w:p>
        </w:tc>
      </w:tr>
      <w:tr>
        <w:trPr/>
        <w:tc>
          <w:tcPr>
            <w:tcW w:w="1527" w:type="dxa"/>
            <w:tcBorders/>
          </w:tcPr>
          <w:p>
            <w:pPr>
              <w:pStyle w:val="TableContents"/>
              <w:spacing w:before="0" w:after="160"/>
              <w:rPr>
                <w:sz w:val="16"/>
                <w:szCs w:val="16"/>
              </w:rPr>
            </w:pPr>
            <w:r>
              <w:rPr>
                <w:sz w:val="16"/>
                <w:szCs w:val="16"/>
              </w:rPr>
              <w:t>Obscure A-50</w:t>
            </w:r>
          </w:p>
        </w:tc>
        <w:tc>
          <w:tcPr>
            <w:tcW w:w="1819" w:type="dxa"/>
            <w:tcBorders/>
          </w:tcPr>
          <w:p>
            <w:pPr>
              <w:pStyle w:val="TableContents"/>
              <w:spacing w:before="0" w:after="160"/>
              <w:rPr>
                <w:sz w:val="16"/>
                <w:szCs w:val="16"/>
              </w:rPr>
            </w:pPr>
            <w:r>
              <w:rPr>
                <w:sz w:val="16"/>
                <w:szCs w:val="16"/>
              </w:rPr>
              <w:t>1630</w:t>
            </w:r>
          </w:p>
        </w:tc>
        <w:tc>
          <w:tcPr>
            <w:tcW w:w="2034" w:type="dxa"/>
            <w:tcBorders/>
          </w:tcPr>
          <w:p>
            <w:pPr>
              <w:pStyle w:val="TableContents"/>
              <w:spacing w:before="0" w:after="160"/>
              <w:rPr>
                <w:sz w:val="16"/>
                <w:szCs w:val="16"/>
              </w:rPr>
            </w:pPr>
            <w:r>
              <w:rPr>
                <w:sz w:val="16"/>
                <w:szCs w:val="16"/>
              </w:rPr>
              <w:t>1620</w:t>
            </w:r>
          </w:p>
        </w:tc>
        <w:tc>
          <w:tcPr>
            <w:tcW w:w="1708" w:type="dxa"/>
            <w:tcBorders/>
          </w:tcPr>
          <w:p>
            <w:pPr>
              <w:pStyle w:val="TableContents"/>
              <w:spacing w:before="0" w:after="160"/>
              <w:rPr>
                <w:sz w:val="16"/>
                <w:szCs w:val="16"/>
              </w:rPr>
            </w:pPr>
            <w:r>
              <w:rPr>
                <w:sz w:val="16"/>
                <w:szCs w:val="16"/>
              </w:rPr>
              <w:t>92.0%</w:t>
            </w:r>
          </w:p>
        </w:tc>
        <w:tc>
          <w:tcPr>
            <w:tcW w:w="1931" w:type="dxa"/>
            <w:tcBorders/>
          </w:tcPr>
          <w:p>
            <w:pPr>
              <w:pStyle w:val="TableContents"/>
              <w:spacing w:before="0" w:after="160"/>
              <w:rPr>
                <w:sz w:val="16"/>
                <w:szCs w:val="16"/>
              </w:rPr>
            </w:pPr>
            <w:r>
              <w:rPr>
                <w:sz w:val="16"/>
                <w:szCs w:val="16"/>
              </w:rPr>
              <w:t>88.2%</w:t>
            </w:r>
          </w:p>
        </w:tc>
      </w:tr>
      <w:tr>
        <w:trPr/>
        <w:tc>
          <w:tcPr>
            <w:tcW w:w="1527" w:type="dxa"/>
            <w:tcBorders/>
          </w:tcPr>
          <w:p>
            <w:pPr>
              <w:pStyle w:val="TableContents"/>
              <w:spacing w:before="0" w:after="160"/>
              <w:rPr>
                <w:sz w:val="16"/>
                <w:szCs w:val="16"/>
              </w:rPr>
            </w:pPr>
            <w:r>
              <w:rPr>
                <w:sz w:val="16"/>
                <w:szCs w:val="16"/>
              </w:rPr>
              <w:t>Obscure A-25</w:t>
            </w:r>
          </w:p>
        </w:tc>
        <w:tc>
          <w:tcPr>
            <w:tcW w:w="1819" w:type="dxa"/>
            <w:tcBorders/>
          </w:tcPr>
          <w:p>
            <w:pPr>
              <w:pStyle w:val="TableContents"/>
              <w:spacing w:before="0" w:after="160"/>
              <w:rPr>
                <w:sz w:val="16"/>
                <w:szCs w:val="16"/>
              </w:rPr>
            </w:pPr>
            <w:r>
              <w:rPr>
                <w:sz w:val="16"/>
                <w:szCs w:val="16"/>
              </w:rPr>
              <w:t>604</w:t>
            </w:r>
          </w:p>
        </w:tc>
        <w:tc>
          <w:tcPr>
            <w:tcW w:w="2034" w:type="dxa"/>
            <w:tcBorders/>
          </w:tcPr>
          <w:p>
            <w:pPr>
              <w:pStyle w:val="TableContents"/>
              <w:spacing w:before="0" w:after="160"/>
              <w:rPr>
                <w:sz w:val="16"/>
                <w:szCs w:val="16"/>
              </w:rPr>
            </w:pPr>
            <w:r>
              <w:rPr>
                <w:sz w:val="16"/>
                <w:szCs w:val="16"/>
              </w:rPr>
              <w:t>600</w:t>
            </w:r>
          </w:p>
        </w:tc>
        <w:tc>
          <w:tcPr>
            <w:tcW w:w="1708" w:type="dxa"/>
            <w:tcBorders/>
          </w:tcPr>
          <w:p>
            <w:pPr>
              <w:pStyle w:val="TableContents"/>
              <w:spacing w:before="0" w:after="160"/>
              <w:rPr>
                <w:sz w:val="16"/>
                <w:szCs w:val="16"/>
              </w:rPr>
            </w:pPr>
            <w:r>
              <w:rPr>
                <w:sz w:val="16"/>
                <w:szCs w:val="16"/>
              </w:rPr>
              <w:t>91.7%</w:t>
            </w:r>
          </w:p>
        </w:tc>
        <w:tc>
          <w:tcPr>
            <w:tcW w:w="1931" w:type="dxa"/>
            <w:tcBorders/>
          </w:tcPr>
          <w:p>
            <w:pPr>
              <w:pStyle w:val="TableContents"/>
              <w:spacing w:before="0" w:after="160"/>
              <w:rPr>
                <w:sz w:val="16"/>
                <w:szCs w:val="16"/>
              </w:rPr>
            </w:pPr>
            <w:r>
              <w:rPr>
                <w:sz w:val="16"/>
                <w:szCs w:val="16"/>
              </w:rPr>
              <w:t>87.4%</w:t>
            </w:r>
          </w:p>
        </w:tc>
      </w:tr>
      <w:tr>
        <w:trPr/>
        <w:tc>
          <w:tcPr>
            <w:tcW w:w="1527" w:type="dxa"/>
            <w:tcBorders/>
          </w:tcPr>
          <w:p>
            <w:pPr>
              <w:pStyle w:val="TableContents"/>
              <w:spacing w:before="0" w:after="160"/>
              <w:rPr>
                <w:sz w:val="16"/>
                <w:szCs w:val="16"/>
              </w:rPr>
            </w:pPr>
            <w:r>
              <w:rPr>
                <w:sz w:val="16"/>
                <w:szCs w:val="16"/>
              </w:rPr>
              <w:t>Obscure B</w:t>
            </w:r>
          </w:p>
        </w:tc>
        <w:tc>
          <w:tcPr>
            <w:tcW w:w="1819" w:type="dxa"/>
            <w:tcBorders/>
          </w:tcPr>
          <w:p>
            <w:pPr>
              <w:pStyle w:val="TableContents"/>
              <w:spacing w:before="0" w:after="160"/>
              <w:rPr>
                <w:sz w:val="16"/>
                <w:szCs w:val="16"/>
              </w:rPr>
            </w:pPr>
            <w:r>
              <w:rPr>
                <w:sz w:val="16"/>
                <w:szCs w:val="16"/>
              </w:rPr>
              <w:t>1</w:t>
            </w:r>
          </w:p>
        </w:tc>
        <w:tc>
          <w:tcPr>
            <w:tcW w:w="2034" w:type="dxa"/>
            <w:tcBorders/>
          </w:tcPr>
          <w:p>
            <w:pPr>
              <w:pStyle w:val="TableContents"/>
              <w:spacing w:before="0" w:after="160"/>
              <w:rPr>
                <w:sz w:val="16"/>
                <w:szCs w:val="16"/>
              </w:rPr>
            </w:pPr>
            <w:r>
              <w:rPr>
                <w:sz w:val="16"/>
                <w:szCs w:val="16"/>
              </w:rPr>
              <w:t>1</w:t>
            </w:r>
          </w:p>
        </w:tc>
        <w:tc>
          <w:tcPr>
            <w:tcW w:w="1708" w:type="dxa"/>
            <w:tcBorders/>
          </w:tcPr>
          <w:p>
            <w:pPr>
              <w:pStyle w:val="Normal"/>
              <w:spacing w:before="0" w:after="160"/>
              <w:rPr>
                <w:sz w:val="16"/>
                <w:szCs w:val="16"/>
              </w:rPr>
            </w:pPr>
            <w:r>
              <w:rPr>
                <w:sz w:val="16"/>
                <w:szCs w:val="16"/>
              </w:rPr>
              <w:t>88.6%</w:t>
            </w:r>
          </w:p>
        </w:tc>
        <w:tc>
          <w:tcPr>
            <w:tcW w:w="1931" w:type="dxa"/>
            <w:tcBorders/>
          </w:tcPr>
          <w:p>
            <w:pPr>
              <w:pStyle w:val="Normal"/>
              <w:spacing w:before="0" w:after="160"/>
              <w:rPr>
                <w:sz w:val="16"/>
                <w:szCs w:val="16"/>
              </w:rPr>
            </w:pPr>
            <w:r>
              <w:rPr>
                <w:sz w:val="16"/>
                <w:szCs w:val="16"/>
              </w:rPr>
              <w:t>88.6%</w:t>
            </w:r>
          </w:p>
        </w:tc>
      </w:tr>
      <w:tr>
        <w:trPr/>
        <w:tc>
          <w:tcPr>
            <w:tcW w:w="1527" w:type="dxa"/>
            <w:tcBorders/>
          </w:tcPr>
          <w:p>
            <w:pPr>
              <w:pStyle w:val="TableContents"/>
              <w:spacing w:before="0" w:after="160"/>
              <w:rPr>
                <w:sz w:val="16"/>
                <w:szCs w:val="16"/>
              </w:rPr>
            </w:pPr>
            <w:r>
              <w:rPr>
                <w:sz w:val="16"/>
                <w:szCs w:val="16"/>
              </w:rPr>
              <w:t>Obscure B-50</w:t>
            </w:r>
          </w:p>
        </w:tc>
        <w:tc>
          <w:tcPr>
            <w:tcW w:w="1819" w:type="dxa"/>
            <w:tcBorders/>
          </w:tcPr>
          <w:p>
            <w:pPr>
              <w:pStyle w:val="TableContents"/>
              <w:spacing w:before="0" w:after="160"/>
              <w:rPr>
                <w:sz w:val="16"/>
                <w:szCs w:val="16"/>
              </w:rPr>
            </w:pPr>
            <w:r>
              <w:rPr>
                <w:sz w:val="16"/>
                <w:szCs w:val="16"/>
              </w:rPr>
              <w:t>1</w:t>
            </w:r>
          </w:p>
        </w:tc>
        <w:tc>
          <w:tcPr>
            <w:tcW w:w="2034" w:type="dxa"/>
            <w:tcBorders/>
          </w:tcPr>
          <w:p>
            <w:pPr>
              <w:pStyle w:val="TableContents"/>
              <w:spacing w:before="0" w:after="160"/>
              <w:rPr>
                <w:sz w:val="16"/>
                <w:szCs w:val="16"/>
              </w:rPr>
            </w:pPr>
            <w:r>
              <w:rPr>
                <w:sz w:val="16"/>
                <w:szCs w:val="16"/>
              </w:rPr>
              <w:t>1</w:t>
            </w:r>
          </w:p>
        </w:tc>
        <w:tc>
          <w:tcPr>
            <w:tcW w:w="1708" w:type="dxa"/>
            <w:tcBorders/>
          </w:tcPr>
          <w:p>
            <w:pPr>
              <w:pStyle w:val="TableContents"/>
              <w:spacing w:before="0" w:after="160"/>
              <w:rPr>
                <w:sz w:val="16"/>
                <w:szCs w:val="16"/>
              </w:rPr>
            </w:pPr>
            <w:r>
              <w:rPr>
                <w:sz w:val="16"/>
                <w:szCs w:val="16"/>
              </w:rPr>
              <w:t>88.4%</w:t>
            </w:r>
          </w:p>
        </w:tc>
        <w:tc>
          <w:tcPr>
            <w:tcW w:w="1931" w:type="dxa"/>
            <w:tcBorders/>
          </w:tcPr>
          <w:p>
            <w:pPr>
              <w:pStyle w:val="TableContents"/>
              <w:spacing w:before="0" w:after="160"/>
              <w:rPr>
                <w:sz w:val="16"/>
                <w:szCs w:val="16"/>
              </w:rPr>
            </w:pPr>
            <w:r>
              <w:rPr>
                <w:sz w:val="16"/>
                <w:szCs w:val="16"/>
              </w:rPr>
              <w:t>88.5%</w:t>
            </w:r>
          </w:p>
        </w:tc>
      </w:tr>
      <w:tr>
        <w:trPr/>
        <w:tc>
          <w:tcPr>
            <w:tcW w:w="1527" w:type="dxa"/>
            <w:tcBorders/>
          </w:tcPr>
          <w:p>
            <w:pPr>
              <w:pStyle w:val="TableContents"/>
              <w:spacing w:before="0" w:after="160"/>
              <w:rPr>
                <w:sz w:val="16"/>
                <w:szCs w:val="16"/>
              </w:rPr>
            </w:pPr>
            <w:r>
              <w:rPr>
                <w:sz w:val="16"/>
                <w:szCs w:val="16"/>
              </w:rPr>
              <w:t>Obscure B-25</w:t>
            </w:r>
          </w:p>
        </w:tc>
        <w:tc>
          <w:tcPr>
            <w:tcW w:w="1819" w:type="dxa"/>
            <w:tcBorders/>
          </w:tcPr>
          <w:p>
            <w:pPr>
              <w:pStyle w:val="TableContents"/>
              <w:spacing w:before="0" w:after="160"/>
              <w:rPr>
                <w:sz w:val="16"/>
                <w:szCs w:val="16"/>
              </w:rPr>
            </w:pPr>
            <w:r>
              <w:rPr>
                <w:sz w:val="16"/>
                <w:szCs w:val="16"/>
              </w:rPr>
              <w:t xml:space="preserve">1 </w:t>
            </w:r>
          </w:p>
        </w:tc>
        <w:tc>
          <w:tcPr>
            <w:tcW w:w="2034" w:type="dxa"/>
            <w:tcBorders/>
          </w:tcPr>
          <w:p>
            <w:pPr>
              <w:pStyle w:val="TableContents"/>
              <w:spacing w:before="0" w:after="160"/>
              <w:rPr>
                <w:sz w:val="16"/>
                <w:szCs w:val="16"/>
              </w:rPr>
            </w:pPr>
            <w:r>
              <w:rPr>
                <w:sz w:val="16"/>
                <w:szCs w:val="16"/>
              </w:rPr>
              <w:t>1</w:t>
            </w:r>
          </w:p>
        </w:tc>
        <w:tc>
          <w:tcPr>
            <w:tcW w:w="1708" w:type="dxa"/>
            <w:tcBorders/>
          </w:tcPr>
          <w:p>
            <w:pPr>
              <w:pStyle w:val="TableContents"/>
              <w:spacing w:before="0" w:after="160"/>
              <w:rPr>
                <w:sz w:val="16"/>
                <w:szCs w:val="16"/>
              </w:rPr>
            </w:pPr>
            <w:r>
              <w:rPr>
                <w:sz w:val="16"/>
                <w:szCs w:val="16"/>
              </w:rPr>
              <w:t>88.4%</w:t>
            </w:r>
          </w:p>
        </w:tc>
        <w:tc>
          <w:tcPr>
            <w:tcW w:w="1931" w:type="dxa"/>
            <w:tcBorders/>
          </w:tcPr>
          <w:p>
            <w:pPr>
              <w:pStyle w:val="TableContents"/>
              <w:spacing w:before="0" w:after="160"/>
              <w:rPr>
                <w:sz w:val="16"/>
                <w:szCs w:val="16"/>
              </w:rPr>
            </w:pPr>
            <w:r>
              <w:rPr>
                <w:sz w:val="16"/>
                <w:szCs w:val="16"/>
              </w:rPr>
              <w:t>88.5%</w:t>
            </w:r>
          </w:p>
        </w:tc>
      </w:tr>
    </w:tbl>
    <w:p>
      <w:pPr>
        <w:pStyle w:val="Normal"/>
        <w:rPr/>
      </w:pPr>
      <w:r>
        <w:rPr/>
        <w:br/>
      </w:r>
      <w:r>
        <w:rPr/>
        <w:t xml:space="preserve">As can be seen from the results, the methods both </w:t>
      </w:r>
      <w:r>
        <w:rPr/>
        <w:t xml:space="preserve">work </w:t>
      </w:r>
      <w:r>
        <w:rPr/>
        <w:t>well</w:t>
      </w:r>
      <w:r>
        <w:rPr/>
        <w:t xml:space="preserve"> </w:t>
      </w:r>
      <w:r>
        <w:rPr/>
        <w:t xml:space="preserve">to distinguish between the scaled-down variants of Obscured A and Obscured B. The reason the methods work well is because the scaled down datasets are representitive samples of the original datasets. However, it is evident that both the size of tree and the gap between the randomised/unrandomised accuracy </w:t>
      </w:r>
      <w:r>
        <w:rPr>
          <w:rFonts w:eastAsia="Calibri" w:cs="" w:cstheme="minorBidi" w:eastAsiaTheme="minorHAnsi"/>
          <w:color w:val="auto"/>
          <w:kern w:val="0"/>
          <w:sz w:val="22"/>
          <w:szCs w:val="22"/>
          <w:lang w:val="en-NZ" w:eastAsia="en-US" w:bidi="ar-SA"/>
        </w:rPr>
        <w:t>are</w:t>
      </w:r>
      <w:r>
        <w:rPr/>
        <w:t xml:space="preserve"> becoming smaller. Therefore, what can be concluded is as the datasets become smaller (same number of </w:t>
      </w:r>
      <w:r>
        <w:rPr>
          <w:rFonts w:eastAsia="Calibri" w:cs="" w:cstheme="minorBidi" w:eastAsiaTheme="minorHAnsi"/>
          <w:color w:val="auto"/>
          <w:kern w:val="0"/>
          <w:sz w:val="22"/>
          <w:szCs w:val="22"/>
          <w:lang w:val="en-NZ" w:eastAsia="en-US" w:bidi="ar-SA"/>
        </w:rPr>
        <w:t>variables</w:t>
      </w:r>
      <w:r>
        <w:rPr/>
        <w:t>, less instances) there will come a point where it will be</w:t>
      </w:r>
      <w:r>
        <w:rPr/>
        <w:t xml:space="preserve"> very diffucult to tell the true </w:t>
      </w:r>
      <w:r>
        <w:rPr>
          <w:rFonts w:eastAsia="Calibri" w:cs="" w:cstheme="minorBidi" w:eastAsiaTheme="minorHAnsi"/>
          <w:color w:val="auto"/>
          <w:kern w:val="0"/>
          <w:sz w:val="22"/>
          <w:szCs w:val="22"/>
          <w:lang w:val="en-NZ" w:eastAsia="en-US" w:bidi="ar-SA"/>
        </w:rPr>
        <w:t>dataset</w:t>
      </w:r>
      <w:r>
        <w:rPr/>
        <w:t xml:space="preserve"> from the randomised one.</w:t>
      </w:r>
    </w:p>
    <w:p>
      <w:pPr>
        <w:pStyle w:val="Heading2"/>
        <w:rPr/>
      </w:pPr>
      <w:r>
        <w:rPr/>
        <w:t>Part D</w:t>
      </w:r>
    </w:p>
    <w:p>
      <w:pPr>
        <w:pStyle w:val="Normal"/>
        <w:rPr/>
      </w:pPr>
      <w:r>
        <w:rPr>
          <w:rFonts w:eastAsia="Calibri" w:cs="" w:cstheme="minorBidi" w:eastAsiaTheme="minorHAnsi"/>
          <w:color w:val="auto"/>
          <w:kern w:val="0"/>
          <w:sz w:val="22"/>
          <w:szCs w:val="22"/>
          <w:lang w:val="en-NZ" w:eastAsia="en-US" w:bidi="ar-SA"/>
        </w:rPr>
        <w:t xml:space="preserve">Method 2 (re-shuffling the data) </w:t>
      </w:r>
      <w:r>
        <w:rPr>
          <w:rFonts w:eastAsia="Calibri" w:cs="" w:cstheme="minorBidi" w:eastAsiaTheme="minorHAnsi"/>
          <w:color w:val="auto"/>
          <w:kern w:val="0"/>
          <w:sz w:val="22"/>
          <w:szCs w:val="22"/>
          <w:lang w:val="en-NZ" w:eastAsia="en-US" w:bidi="ar-SA"/>
        </w:rPr>
        <w:t>is more reliable than</w:t>
      </w:r>
      <w:r>
        <w:rPr>
          <w:rFonts w:eastAsia="Calibri" w:cs="" w:cstheme="minorBidi" w:eastAsiaTheme="minorHAnsi"/>
          <w:color w:val="auto"/>
          <w:kern w:val="0"/>
          <w:sz w:val="22"/>
          <w:szCs w:val="22"/>
          <w:lang w:val="en-NZ" w:eastAsia="en-US" w:bidi="ar-SA"/>
        </w:rPr>
        <w:t xml:space="preserve"> Method 1 (examine tree structure). This is because as the datasets are scaled down (same number of variables, less instances), the tendency </w:t>
      </w:r>
      <w:r>
        <w:rPr>
          <w:rFonts w:eastAsia="Calibri" w:cs="" w:cstheme="minorBidi" w:eastAsiaTheme="minorHAnsi"/>
          <w:color w:val="auto"/>
          <w:kern w:val="0"/>
          <w:sz w:val="22"/>
          <w:szCs w:val="22"/>
          <w:lang w:val="en-NZ" w:eastAsia="en-US" w:bidi="ar-SA"/>
        </w:rPr>
        <w:t>of</w:t>
      </w:r>
      <w:r>
        <w:rPr>
          <w:rFonts w:eastAsia="Calibri" w:cs="" w:cstheme="minorBidi" w:eastAsiaTheme="minorHAnsi"/>
          <w:color w:val="auto"/>
          <w:kern w:val="0"/>
          <w:sz w:val="22"/>
          <w:szCs w:val="22"/>
          <w:lang w:val="en-NZ" w:eastAsia="en-US" w:bidi="ar-SA"/>
        </w:rPr>
        <w:t xml:space="preserve"> a decision tree to overfit will increase. Therefore, in Method 1 both datasets (shuffled and normal) </w:t>
      </w:r>
      <w:r>
        <w:rPr>
          <w:rFonts w:eastAsia="Calibri" w:cs="" w:cstheme="minorBidi" w:eastAsiaTheme="minorHAnsi"/>
          <w:color w:val="auto"/>
          <w:kern w:val="0"/>
          <w:sz w:val="22"/>
          <w:szCs w:val="22"/>
          <w:lang w:val="en-NZ" w:eastAsia="en-US" w:bidi="ar-SA"/>
        </w:rPr>
        <w:t>may</w:t>
      </w:r>
      <w:r>
        <w:rPr>
          <w:rFonts w:eastAsia="Calibri" w:cs="" w:cstheme="minorBidi" w:eastAsiaTheme="minorHAnsi"/>
          <w:color w:val="auto"/>
          <w:kern w:val="0"/>
          <w:sz w:val="22"/>
          <w:szCs w:val="22"/>
          <w:lang w:val="en-NZ" w:eastAsia="en-US" w:bidi="ar-SA"/>
        </w:rPr>
        <w:t xml:space="preserve"> produce a </w:t>
      </w:r>
      <w:r>
        <w:rPr>
          <w:rFonts w:eastAsia="Calibri" w:cs="" w:cstheme="minorBidi" w:eastAsiaTheme="minorHAnsi"/>
          <w:color w:val="auto"/>
          <w:kern w:val="0"/>
          <w:sz w:val="22"/>
          <w:szCs w:val="22"/>
          <w:lang w:val="en-NZ" w:eastAsia="en-US" w:bidi="ar-SA"/>
        </w:rPr>
        <w:t>viable</w:t>
      </w:r>
      <w:r>
        <w:rPr>
          <w:rFonts w:eastAsia="Calibri" w:cs="" w:cstheme="minorBidi" w:eastAsiaTheme="minorHAnsi"/>
          <w:color w:val="auto"/>
          <w:kern w:val="0"/>
          <w:sz w:val="22"/>
          <w:szCs w:val="22"/>
          <w:lang w:val="en-NZ" w:eastAsia="en-US" w:bidi="ar-SA"/>
        </w:rPr>
        <w:t xml:space="preserve"> decision trees, making it difficult to distinguish between them. In contrast </w:t>
      </w:r>
      <w:r>
        <w:rPr>
          <w:rFonts w:eastAsia="Calibri" w:cs="" w:cstheme="minorBidi" w:eastAsiaTheme="minorHAnsi"/>
          <w:color w:val="auto"/>
          <w:kern w:val="0"/>
          <w:sz w:val="22"/>
          <w:szCs w:val="22"/>
          <w:lang w:val="en-NZ" w:eastAsia="en-US" w:bidi="ar-SA"/>
        </w:rPr>
        <w:t>the</w:t>
      </w:r>
      <w:r>
        <w:rPr>
          <w:rFonts w:eastAsia="Calibri" w:cs="" w:cstheme="minorBidi" w:eastAsiaTheme="minorHAnsi"/>
          <w:color w:val="auto"/>
          <w:kern w:val="0"/>
          <w:sz w:val="22"/>
          <w:szCs w:val="22"/>
          <w:lang w:val="en-NZ" w:eastAsia="en-US" w:bidi="ar-SA"/>
        </w:rPr>
        <w:t xml:space="preserve"> 10-fold cross-validation in Method 2 should aid with overfitting, making it possible to distinguish between the randomised and normal datasets. However, as aforementioned there will come a point where the datasets are small enough and it will be impossible to distinguish between Obscured A and Obscured B. </w:t>
      </w:r>
    </w:p>
    <w:p>
      <w:pPr>
        <w:pStyle w:val="Normal"/>
        <w:rPr>
          <w:rFonts w:ascii="Univers for KPMG Light" w:hAnsi="Univers for KPMG Light" w:eastAsia="Calibri" w:cs="" w:cstheme="minorBidi" w:eastAsiaTheme="minorHAnsi"/>
          <w:color w:val="auto"/>
          <w:kern w:val="0"/>
          <w:sz w:val="22"/>
          <w:szCs w:val="22"/>
          <w:lang w:val="en-NZ" w:eastAsia="en-US" w:bidi="ar-SA"/>
        </w:rPr>
      </w:pPr>
      <w:r>
        <w:rPr>
          <w:rFonts w:eastAsia="Calibri" w:cs="" w:cstheme="minorBidi" w:eastAsiaTheme="minorHAnsi"/>
          <w:color w:val="auto"/>
          <w:kern w:val="0"/>
          <w:sz w:val="22"/>
          <w:szCs w:val="22"/>
          <w:lang w:val="en-NZ" w:eastAsia="en-US" w:bidi="ar-SA"/>
        </w:rPr>
        <w:br/>
      </w:r>
    </w:p>
    <w:p>
      <w:pPr>
        <w:pStyle w:val="Normal"/>
        <w:spacing w:before="0" w:after="160"/>
        <w:rPr/>
      </w:pPr>
      <w:r>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Univers for KPMG Light">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NZ"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Univers for KPMG Light" w:hAnsi="Univers for KPMG Light" w:eastAsia="Calibri" w:cs="" w:cstheme="minorBidi" w:eastAsiaTheme="minorHAnsi"/>
      <w:color w:val="auto"/>
      <w:kern w:val="0"/>
      <w:sz w:val="22"/>
      <w:szCs w:val="22"/>
      <w:lang w:val="en-NZ" w:eastAsia="en-US" w:bidi="ar-SA"/>
    </w:rPr>
  </w:style>
  <w:style w:type="paragraph" w:styleId="Heading1">
    <w:name w:val="Heading 1"/>
    <w:basedOn w:val="Normal"/>
    <w:next w:val="Normal"/>
    <w:link w:val="Heading1Char"/>
    <w:uiPriority w:val="9"/>
    <w:qFormat/>
    <w:rsid w:val="00476ba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76ba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76bab"/>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476bab"/>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76bab"/>
    <w:rPr>
      <w:rFonts w:eastAsia="" w:eastAsiaTheme="minorEastAsia"/>
      <w:color w:val="5A5A5A" w:themeColor="text1" w:themeTint="a5"/>
      <w:spacing w:val="15"/>
    </w:rPr>
  </w:style>
  <w:style w:type="character" w:styleId="Heading2Char" w:customStyle="1">
    <w:name w:val="Heading 2 Char"/>
    <w:basedOn w:val="DefaultParagraphFont"/>
    <w:link w:val="Heading2"/>
    <w:uiPriority w:val="9"/>
    <w:qFormat/>
    <w:rsid w:val="00476bab"/>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476ba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76bab"/>
    <w:pPr/>
    <w:rPr>
      <w:rFonts w:ascii="Calibri" w:hAnsi="Calibri" w:eastAsia="" w:asciiTheme="minorHAnsi" w:eastAsiaTheme="minorEastAsia" w:hAnsiTheme="minorHAnsi"/>
      <w:color w:val="5A5A5A" w:themeColor="text1" w:themeTint="a5"/>
      <w:spacing w:val="15"/>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Application>LibreOffice/6.4.1.2$Linux_X86_64 LibreOffice_project/e1ad903d8acbc5f5b474f1d8ec3defef24b8c46b</Application>
  <Pages>2</Pages>
  <Words>536</Words>
  <Characters>2694</Characters>
  <CharactersWithSpaces>3189</CharactersWithSpaces>
  <Paragraphs>50</Paragraphs>
  <Company>KPMG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2020-03-08T22:56:00Z</dcterms:created>
  <dc:creator>Cheena, Hasnain</dc:creator>
  <dc:description/>
  <dc:language>en-NZ</dc:language>
  <cp:lastModifiedBy/>
  <dcterms:modified xsi:type="dcterms:W3CDTF">2020-03-12T11:01:34Z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KPMG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