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E5709" w14:textId="1961C89E" w:rsidR="002966BB" w:rsidRPr="00601871" w:rsidRDefault="002966BB" w:rsidP="00601871">
      <w:pPr>
        <w:jc w:val="both"/>
        <w:rPr>
          <w:sz w:val="22"/>
          <w:szCs w:val="22"/>
          <w:lang w:val="en-US"/>
        </w:rPr>
      </w:pPr>
      <w:r w:rsidRPr="00601871">
        <w:rPr>
          <w:sz w:val="22"/>
          <w:szCs w:val="22"/>
          <w:lang w:val="en-US"/>
        </w:rPr>
        <w:t>Technology and platform providers</w:t>
      </w:r>
      <w:r w:rsidR="00C10DD4" w:rsidRPr="00601871">
        <w:rPr>
          <w:sz w:val="22"/>
          <w:szCs w:val="22"/>
          <w:lang w:val="en-US"/>
        </w:rPr>
        <w:t xml:space="preserve"> have been</w:t>
      </w:r>
      <w:r w:rsidRPr="00601871">
        <w:rPr>
          <w:sz w:val="22"/>
          <w:szCs w:val="22"/>
          <w:lang w:val="en-US"/>
        </w:rPr>
        <w:t xml:space="preserve"> </w:t>
      </w:r>
      <w:r w:rsidR="00C10DD4" w:rsidRPr="00601871">
        <w:rPr>
          <w:sz w:val="22"/>
          <w:szCs w:val="22"/>
          <w:lang w:val="en-US"/>
        </w:rPr>
        <w:t>challenging</w:t>
      </w:r>
      <w:r w:rsidRPr="00601871">
        <w:rPr>
          <w:sz w:val="22"/>
          <w:szCs w:val="22"/>
          <w:lang w:val="en-US"/>
        </w:rPr>
        <w:t xml:space="preserve"> the traditional economy and have </w:t>
      </w:r>
      <w:r w:rsidR="00C10DD4" w:rsidRPr="00601871">
        <w:rPr>
          <w:sz w:val="22"/>
          <w:szCs w:val="22"/>
          <w:lang w:val="en-US"/>
        </w:rPr>
        <w:t>been generating</w:t>
      </w:r>
      <w:r w:rsidRPr="00601871">
        <w:rPr>
          <w:sz w:val="22"/>
          <w:szCs w:val="22"/>
          <w:lang w:val="en-US"/>
        </w:rPr>
        <w:t xml:space="preserve"> a new group of workers</w:t>
      </w:r>
      <w:r w:rsidR="00C10DD4" w:rsidRPr="00601871">
        <w:rPr>
          <w:sz w:val="22"/>
          <w:szCs w:val="22"/>
          <w:lang w:val="en-US"/>
        </w:rPr>
        <w:t>,</w:t>
      </w:r>
      <w:r w:rsidR="005D31A8" w:rsidRPr="00601871">
        <w:rPr>
          <w:sz w:val="22"/>
          <w:szCs w:val="22"/>
          <w:lang w:val="en-US"/>
        </w:rPr>
        <w:t xml:space="preserve"> known as “Gig Workers” or independent worker</w:t>
      </w:r>
      <w:r w:rsidR="00601871">
        <w:rPr>
          <w:sz w:val="22"/>
          <w:szCs w:val="22"/>
          <w:lang w:val="en-US"/>
        </w:rPr>
        <w:t>s</w:t>
      </w:r>
      <w:r w:rsidR="005D31A8" w:rsidRPr="00601871">
        <w:rPr>
          <w:sz w:val="22"/>
          <w:szCs w:val="22"/>
          <w:lang w:val="en-US"/>
        </w:rPr>
        <w:t>.</w:t>
      </w:r>
      <w:r w:rsidRPr="00601871">
        <w:rPr>
          <w:sz w:val="22"/>
          <w:szCs w:val="22"/>
          <w:lang w:val="en-US"/>
        </w:rPr>
        <w:t xml:space="preserve"> </w:t>
      </w:r>
    </w:p>
    <w:p w14:paraId="5D492F7F" w14:textId="77777777" w:rsidR="00A05B69" w:rsidRPr="00601871" w:rsidRDefault="00A05B69" w:rsidP="00601871">
      <w:pPr>
        <w:jc w:val="both"/>
        <w:rPr>
          <w:sz w:val="22"/>
          <w:szCs w:val="22"/>
          <w:lang w:val="en-US"/>
        </w:rPr>
      </w:pPr>
    </w:p>
    <w:p w14:paraId="5BAFFF17" w14:textId="054950C3" w:rsidR="00A05B69" w:rsidRPr="00601871" w:rsidRDefault="005D31A8" w:rsidP="0021284E">
      <w:pPr>
        <w:jc w:val="both"/>
        <w:rPr>
          <w:sz w:val="22"/>
          <w:szCs w:val="22"/>
          <w:lang w:val="en-US"/>
        </w:rPr>
      </w:pPr>
      <w:r w:rsidRPr="00601871">
        <w:rPr>
          <w:rFonts w:eastAsia="Times New Roman" w:cs="Arial"/>
          <w:color w:val="1F1F1F"/>
          <w:sz w:val="22"/>
          <w:szCs w:val="22"/>
          <w:shd w:val="clear" w:color="auto" w:fill="FFFFFF"/>
          <w:lang w:val="en-US" w:eastAsia="es-ES_tradnl"/>
        </w:rPr>
        <w:t>Some studies indicate</w:t>
      </w:r>
      <w:r w:rsidR="00D93CB6">
        <w:rPr>
          <w:rFonts w:eastAsia="Times New Roman" w:cs="Arial"/>
          <w:color w:val="1F1F1F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601871">
        <w:rPr>
          <w:rFonts w:eastAsia="Times New Roman" w:cs="Arial"/>
          <w:color w:val="1F1F1F"/>
          <w:sz w:val="22"/>
          <w:szCs w:val="22"/>
          <w:shd w:val="clear" w:color="auto" w:fill="FFFFFF"/>
          <w:lang w:val="en-US" w:eastAsia="es-ES_tradnl"/>
        </w:rPr>
        <w:t xml:space="preserve">that there are between 54 and 68 millions of independent workers in United States </w:t>
      </w:r>
      <w:r w:rsidR="00D93CB6">
        <w:rPr>
          <w:rFonts w:eastAsia="Times New Roman" w:cs="Arial"/>
          <w:color w:val="1F1F1F"/>
          <w:sz w:val="22"/>
          <w:szCs w:val="22"/>
          <w:shd w:val="clear" w:color="auto" w:fill="FFFFFF"/>
          <w:lang w:val="en-US" w:eastAsia="es-ES_tradnl"/>
        </w:rPr>
        <w:t>which are</w:t>
      </w:r>
      <w:r w:rsidRPr="00601871">
        <w:rPr>
          <w:rFonts w:eastAsia="Times New Roman" w:cs="Arial"/>
          <w:color w:val="1F1F1F"/>
          <w:sz w:val="22"/>
          <w:szCs w:val="22"/>
          <w:shd w:val="clear" w:color="auto" w:fill="FFFFFF"/>
          <w:lang w:val="en-US" w:eastAsia="es-ES_tradnl"/>
        </w:rPr>
        <w:t xml:space="preserve"> classified in </w:t>
      </w:r>
      <w:r w:rsidRPr="00601871">
        <w:rPr>
          <w:sz w:val="22"/>
          <w:szCs w:val="22"/>
          <w:lang w:val="en-US"/>
        </w:rPr>
        <w:t>four segments</w:t>
      </w:r>
      <w:r w:rsidRPr="00601871">
        <w:rPr>
          <w:rStyle w:val="Refdenotaalpie"/>
          <w:sz w:val="22"/>
          <w:szCs w:val="22"/>
          <w:lang w:val="en-US"/>
        </w:rPr>
        <w:footnoteReference w:id="1"/>
      </w:r>
      <w:r w:rsidRPr="00601871">
        <w:rPr>
          <w:sz w:val="22"/>
          <w:szCs w:val="22"/>
          <w:lang w:val="en-US"/>
        </w:rPr>
        <w:t>:</w:t>
      </w:r>
      <w:r w:rsidR="0021284E">
        <w:rPr>
          <w:sz w:val="22"/>
          <w:szCs w:val="22"/>
          <w:lang w:val="en-US"/>
        </w:rPr>
        <w:t xml:space="preserve"> Free agent, Casual earner, </w:t>
      </w:r>
      <w:r w:rsidRPr="00601871">
        <w:rPr>
          <w:sz w:val="22"/>
          <w:szCs w:val="22"/>
          <w:lang w:val="en-US"/>
        </w:rPr>
        <w:t>Relu</w:t>
      </w:r>
      <w:r w:rsidR="0021284E">
        <w:rPr>
          <w:sz w:val="22"/>
          <w:szCs w:val="22"/>
          <w:lang w:val="en-US"/>
        </w:rPr>
        <w:t>ctant, Financially strapped</w:t>
      </w:r>
      <w:r w:rsidRPr="00601871">
        <w:rPr>
          <w:sz w:val="22"/>
          <w:szCs w:val="22"/>
          <w:lang w:val="en-US"/>
        </w:rPr>
        <w:t xml:space="preserve">. </w:t>
      </w:r>
    </w:p>
    <w:p w14:paraId="5BE93C25" w14:textId="77777777" w:rsidR="002966BB" w:rsidRPr="00601871" w:rsidRDefault="002966BB" w:rsidP="00601871">
      <w:pPr>
        <w:jc w:val="both"/>
        <w:rPr>
          <w:sz w:val="22"/>
          <w:szCs w:val="22"/>
          <w:lang w:val="en-US"/>
        </w:rPr>
      </w:pPr>
    </w:p>
    <w:p w14:paraId="4910DBD4" w14:textId="0EB41E35" w:rsidR="00C10DD4" w:rsidRPr="00601871" w:rsidRDefault="00D93CB6" w:rsidP="00601871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 w:rsidR="005A26E8" w:rsidRPr="00601871">
        <w:rPr>
          <w:sz w:val="22"/>
          <w:szCs w:val="22"/>
          <w:lang w:val="en-US"/>
        </w:rPr>
        <w:t xml:space="preserve"> gi</w:t>
      </w:r>
      <w:r w:rsidR="00C10DD4" w:rsidRPr="00601871">
        <w:rPr>
          <w:sz w:val="22"/>
          <w:szCs w:val="22"/>
          <w:lang w:val="en-US"/>
        </w:rPr>
        <w:t>g worker</w:t>
      </w:r>
      <w:r>
        <w:rPr>
          <w:sz w:val="22"/>
          <w:szCs w:val="22"/>
          <w:lang w:val="en-US"/>
        </w:rPr>
        <w:t xml:space="preserve"> is</w:t>
      </w:r>
      <w:r w:rsidR="00C10DD4" w:rsidRPr="00601871">
        <w:rPr>
          <w:sz w:val="22"/>
          <w:szCs w:val="22"/>
          <w:lang w:val="en-US"/>
        </w:rPr>
        <w:t xml:space="preserve"> a person </w:t>
      </w:r>
      <w:r w:rsidR="002966BB" w:rsidRPr="00601871">
        <w:rPr>
          <w:sz w:val="22"/>
          <w:szCs w:val="22"/>
          <w:lang w:val="en-US"/>
        </w:rPr>
        <w:t>who provide</w:t>
      </w:r>
      <w:r>
        <w:rPr>
          <w:sz w:val="22"/>
          <w:szCs w:val="22"/>
          <w:lang w:val="en-US"/>
        </w:rPr>
        <w:t>s</w:t>
      </w:r>
      <w:r w:rsidR="002966BB" w:rsidRPr="00601871">
        <w:rPr>
          <w:sz w:val="22"/>
          <w:szCs w:val="22"/>
          <w:lang w:val="en-US"/>
        </w:rPr>
        <w:t xml:space="preserve"> </w:t>
      </w:r>
      <w:r w:rsidR="00C10DD4" w:rsidRPr="00601871">
        <w:rPr>
          <w:sz w:val="22"/>
          <w:szCs w:val="22"/>
          <w:lang w:val="en-US"/>
        </w:rPr>
        <w:t xml:space="preserve">temporary </w:t>
      </w:r>
      <w:r w:rsidR="002966BB" w:rsidRPr="00601871">
        <w:rPr>
          <w:sz w:val="22"/>
          <w:szCs w:val="22"/>
          <w:lang w:val="en-US"/>
        </w:rPr>
        <w:t xml:space="preserve">services for platform providers as an independent contractor </w:t>
      </w:r>
      <w:r w:rsidR="00C10DD4" w:rsidRPr="00601871">
        <w:rPr>
          <w:sz w:val="22"/>
          <w:szCs w:val="22"/>
          <w:lang w:val="en-US"/>
        </w:rPr>
        <w:t>for short-terms</w:t>
      </w:r>
      <w:r w:rsidR="001F6B70" w:rsidRPr="00601871">
        <w:rPr>
          <w:sz w:val="22"/>
          <w:szCs w:val="22"/>
          <w:lang w:val="en-US"/>
        </w:rPr>
        <w:t>, on the idea of task-based labor</w:t>
      </w:r>
      <w:r w:rsidR="00C10DD4" w:rsidRPr="00601871">
        <w:rPr>
          <w:sz w:val="22"/>
          <w:szCs w:val="22"/>
          <w:lang w:val="en-US"/>
        </w:rPr>
        <w:t xml:space="preserve">. </w:t>
      </w:r>
      <w:r w:rsidR="002966BB" w:rsidRPr="00601871">
        <w:rPr>
          <w:sz w:val="22"/>
          <w:szCs w:val="22"/>
          <w:lang w:val="en-US"/>
        </w:rPr>
        <w:t xml:space="preserve">Some proclaim that </w:t>
      </w:r>
      <w:r>
        <w:rPr>
          <w:sz w:val="22"/>
          <w:szCs w:val="22"/>
          <w:lang w:val="en-US"/>
        </w:rPr>
        <w:t>the</w:t>
      </w:r>
      <w:r w:rsidR="002966BB" w:rsidRPr="00601871">
        <w:rPr>
          <w:sz w:val="22"/>
          <w:szCs w:val="22"/>
          <w:lang w:val="en-US"/>
        </w:rPr>
        <w:t xml:space="preserve"> possibility to work with more freedom allow</w:t>
      </w:r>
      <w:r>
        <w:rPr>
          <w:sz w:val="22"/>
          <w:szCs w:val="22"/>
          <w:lang w:val="en-US"/>
        </w:rPr>
        <w:t>s</w:t>
      </w:r>
      <w:r w:rsidR="002966BB" w:rsidRPr="00601871">
        <w:rPr>
          <w:sz w:val="22"/>
          <w:szCs w:val="22"/>
          <w:lang w:val="en-US"/>
        </w:rPr>
        <w:t xml:space="preserve"> gig workers to have more options, but others indicate that actually this new reality leave</w:t>
      </w:r>
      <w:r>
        <w:rPr>
          <w:sz w:val="22"/>
          <w:szCs w:val="22"/>
          <w:lang w:val="en-US"/>
        </w:rPr>
        <w:t>s</w:t>
      </w:r>
      <w:r w:rsidR="002966BB" w:rsidRPr="00601871">
        <w:rPr>
          <w:sz w:val="22"/>
          <w:szCs w:val="22"/>
          <w:lang w:val="en-US"/>
        </w:rPr>
        <w:t xml:space="preserve"> workers with less options and also with more risk</w:t>
      </w:r>
      <w:r>
        <w:rPr>
          <w:sz w:val="22"/>
          <w:szCs w:val="22"/>
          <w:lang w:val="en-US"/>
        </w:rPr>
        <w:t>s</w:t>
      </w:r>
      <w:r w:rsidR="002966BB" w:rsidRPr="00601871">
        <w:rPr>
          <w:sz w:val="22"/>
          <w:szCs w:val="22"/>
          <w:lang w:val="en-US"/>
        </w:rPr>
        <w:t xml:space="preserve"> </w:t>
      </w:r>
      <w:r w:rsidR="00C10DD4" w:rsidRPr="00601871">
        <w:rPr>
          <w:sz w:val="22"/>
          <w:szCs w:val="22"/>
          <w:lang w:val="en-US"/>
        </w:rPr>
        <w:t>than any other independent contractor.</w:t>
      </w:r>
    </w:p>
    <w:p w14:paraId="50F28303" w14:textId="77777777" w:rsidR="00C10DD4" w:rsidRPr="00601871" w:rsidRDefault="00C10DD4" w:rsidP="00601871">
      <w:pPr>
        <w:jc w:val="both"/>
        <w:rPr>
          <w:sz w:val="22"/>
          <w:szCs w:val="22"/>
          <w:lang w:val="en-US"/>
        </w:rPr>
      </w:pPr>
    </w:p>
    <w:p w14:paraId="1BA9B47B" w14:textId="5C2194D0" w:rsidR="00601871" w:rsidRDefault="00601871" w:rsidP="00601871">
      <w:pPr>
        <w:jc w:val="both"/>
        <w:rPr>
          <w:rFonts w:eastAsia="Times New Roman" w:cs="Arial"/>
          <w:color w:val="1F1F1F"/>
          <w:sz w:val="22"/>
          <w:szCs w:val="22"/>
          <w:shd w:val="clear" w:color="auto" w:fill="FFFFFF"/>
          <w:lang w:val="en-US" w:eastAsia="es-ES_tradnl"/>
        </w:rPr>
      </w:pPr>
      <w:r>
        <w:rPr>
          <w:rFonts w:eastAsia="Times New Roman" w:cs="Arial"/>
          <w:color w:val="1F1F1F"/>
          <w:sz w:val="22"/>
          <w:szCs w:val="22"/>
          <w:shd w:val="clear" w:color="auto" w:fill="FFFFFF"/>
          <w:lang w:val="en-US" w:eastAsia="es-ES_tradnl"/>
        </w:rPr>
        <w:t xml:space="preserve">In this instance we will focus in Uber drivers. </w:t>
      </w:r>
    </w:p>
    <w:p w14:paraId="2EF79C1D" w14:textId="77777777" w:rsidR="0021284E" w:rsidRDefault="0021284E" w:rsidP="00601871">
      <w:pPr>
        <w:jc w:val="both"/>
        <w:rPr>
          <w:rFonts w:eastAsia="Times New Roman" w:cs="Arial"/>
          <w:color w:val="1F1F1F"/>
          <w:sz w:val="22"/>
          <w:szCs w:val="22"/>
          <w:shd w:val="clear" w:color="auto" w:fill="FFFFFF"/>
          <w:lang w:val="en-US" w:eastAsia="es-ES_tradnl"/>
        </w:rPr>
      </w:pPr>
    </w:p>
    <w:p w14:paraId="6C2CDB99" w14:textId="7563D16C" w:rsidR="0021284E" w:rsidRPr="0021284E" w:rsidRDefault="0021284E" w:rsidP="00601871">
      <w:pPr>
        <w:jc w:val="both"/>
        <w:rPr>
          <w:rFonts w:eastAsia="Times New Roman" w:cs="Arial"/>
          <w:b/>
          <w:color w:val="1F1F1F"/>
          <w:sz w:val="22"/>
          <w:szCs w:val="22"/>
          <w:shd w:val="clear" w:color="auto" w:fill="FFFFFF"/>
          <w:lang w:val="en-US" w:eastAsia="es-ES_tradnl"/>
        </w:rPr>
      </w:pPr>
      <w:bookmarkStart w:id="0" w:name="_GoBack"/>
      <w:r w:rsidRPr="0021284E">
        <w:rPr>
          <w:rFonts w:eastAsia="Times New Roman" w:cs="Arial"/>
          <w:b/>
          <w:color w:val="1F1F1F"/>
          <w:sz w:val="22"/>
          <w:szCs w:val="22"/>
          <w:shd w:val="clear" w:color="auto" w:fill="FFFFFF"/>
          <w:lang w:val="en-US" w:eastAsia="es-ES_tradnl"/>
        </w:rPr>
        <w:t>ECONOMY:</w:t>
      </w:r>
    </w:p>
    <w:bookmarkEnd w:id="0"/>
    <w:p w14:paraId="7988006E" w14:textId="77777777" w:rsidR="007C3C6D" w:rsidRPr="00601871" w:rsidRDefault="007C3C6D" w:rsidP="00601871">
      <w:pPr>
        <w:jc w:val="both"/>
        <w:rPr>
          <w:sz w:val="22"/>
          <w:szCs w:val="22"/>
          <w:lang w:val="en-US"/>
        </w:rPr>
      </w:pPr>
    </w:p>
    <w:p w14:paraId="718582AE" w14:textId="7D196907" w:rsidR="007C3C6D" w:rsidRPr="00601871" w:rsidRDefault="0021284E" w:rsidP="00601871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</w:t>
      </w:r>
      <w:r w:rsidR="007B5699" w:rsidRPr="00601871">
        <w:rPr>
          <w:sz w:val="22"/>
          <w:szCs w:val="22"/>
          <w:lang w:val="en-US"/>
        </w:rPr>
        <w:t>rofit</w:t>
      </w:r>
      <w:r w:rsidR="00D93CB6">
        <w:rPr>
          <w:sz w:val="22"/>
          <w:szCs w:val="22"/>
          <w:lang w:val="en-US"/>
        </w:rPr>
        <w:t>s</w:t>
      </w:r>
      <w:r w:rsidR="007C3C6D" w:rsidRPr="00601871">
        <w:rPr>
          <w:sz w:val="22"/>
          <w:szCs w:val="22"/>
          <w:lang w:val="en-US"/>
        </w:rPr>
        <w:t xml:space="preserve"> and the cos</w:t>
      </w:r>
      <w:r w:rsidR="00601871">
        <w:rPr>
          <w:sz w:val="22"/>
          <w:szCs w:val="22"/>
          <w:lang w:val="en-US"/>
        </w:rPr>
        <w:t xml:space="preserve">ts that </w:t>
      </w:r>
      <w:r w:rsidR="007C3C6D" w:rsidRPr="00601871">
        <w:rPr>
          <w:sz w:val="22"/>
          <w:szCs w:val="22"/>
          <w:lang w:val="en-US"/>
        </w:rPr>
        <w:t>driver</w:t>
      </w:r>
      <w:r w:rsidR="00601871">
        <w:rPr>
          <w:sz w:val="22"/>
          <w:szCs w:val="22"/>
          <w:lang w:val="en-US"/>
        </w:rPr>
        <w:t>s have</w:t>
      </w:r>
      <w:r w:rsidR="007C3C6D" w:rsidRPr="00601871">
        <w:rPr>
          <w:sz w:val="22"/>
          <w:szCs w:val="22"/>
          <w:lang w:val="en-US"/>
        </w:rPr>
        <w:t xml:space="preserve"> are complex and variable</w:t>
      </w:r>
      <w:r w:rsidR="00971C3F" w:rsidRPr="00601871">
        <w:rPr>
          <w:sz w:val="22"/>
          <w:szCs w:val="22"/>
          <w:lang w:val="en-US"/>
        </w:rPr>
        <w:t xml:space="preserve"> depending on the time and the distance</w:t>
      </w:r>
      <w:r w:rsidR="007C3C6D" w:rsidRPr="00601871">
        <w:rPr>
          <w:sz w:val="22"/>
          <w:szCs w:val="22"/>
          <w:lang w:val="en-US"/>
        </w:rPr>
        <w:t xml:space="preserve">. </w:t>
      </w:r>
      <w:r w:rsidR="00971C3F" w:rsidRPr="00601871">
        <w:rPr>
          <w:sz w:val="22"/>
          <w:szCs w:val="22"/>
          <w:lang w:val="en-US"/>
        </w:rPr>
        <w:t>Different factors might influence the income, such as: (</w:t>
      </w:r>
      <w:proofErr w:type="spellStart"/>
      <w:r w:rsidR="00971C3F" w:rsidRPr="00601871">
        <w:rPr>
          <w:sz w:val="22"/>
          <w:szCs w:val="22"/>
          <w:lang w:val="en-US"/>
        </w:rPr>
        <w:t>i</w:t>
      </w:r>
      <w:proofErr w:type="spellEnd"/>
      <w:r w:rsidR="00971C3F" w:rsidRPr="00601871">
        <w:rPr>
          <w:sz w:val="22"/>
          <w:szCs w:val="22"/>
          <w:lang w:val="en-US"/>
        </w:rPr>
        <w:t>) offer and demand, (ii) whether the route is share</w:t>
      </w:r>
      <w:r w:rsidR="003657F1" w:rsidRPr="00601871">
        <w:rPr>
          <w:sz w:val="22"/>
          <w:szCs w:val="22"/>
          <w:lang w:val="en-US"/>
        </w:rPr>
        <w:t>d</w:t>
      </w:r>
      <w:r w:rsidR="00971C3F" w:rsidRPr="00601871">
        <w:rPr>
          <w:sz w:val="22"/>
          <w:szCs w:val="22"/>
          <w:lang w:val="en-US"/>
        </w:rPr>
        <w:t xml:space="preserve"> between many people who opt for pool services, (iii) bonuses and promotions</w:t>
      </w:r>
      <w:r w:rsidR="003657F1" w:rsidRPr="00601871">
        <w:rPr>
          <w:sz w:val="22"/>
          <w:szCs w:val="22"/>
          <w:lang w:val="en-US"/>
        </w:rPr>
        <w:t xml:space="preserve"> that</w:t>
      </w:r>
      <w:r w:rsidR="00971C3F" w:rsidRPr="00601871">
        <w:rPr>
          <w:sz w:val="22"/>
          <w:szCs w:val="22"/>
          <w:lang w:val="en-US"/>
        </w:rPr>
        <w:t xml:space="preserve"> companies can provide, (iv) </w:t>
      </w:r>
      <w:r w:rsidR="003657F1" w:rsidRPr="00601871">
        <w:rPr>
          <w:sz w:val="22"/>
          <w:szCs w:val="22"/>
          <w:lang w:val="en-US"/>
        </w:rPr>
        <w:t>costs of the car</w:t>
      </w:r>
      <w:r w:rsidR="00971C3F" w:rsidRPr="00601871">
        <w:rPr>
          <w:sz w:val="22"/>
          <w:szCs w:val="22"/>
          <w:lang w:val="en-US"/>
        </w:rPr>
        <w:t xml:space="preserve">, e.g.: </w:t>
      </w:r>
      <w:r w:rsidR="003657F1" w:rsidRPr="00601871">
        <w:rPr>
          <w:sz w:val="22"/>
          <w:szCs w:val="22"/>
          <w:lang w:val="en-US"/>
        </w:rPr>
        <w:t>rent a car or vehicle depreciation, insurance, maintenance, fuel, etc., (v) taxes, (vi) suppliers (services</w:t>
      </w:r>
      <w:r w:rsidR="00CB46B2" w:rsidRPr="00601871">
        <w:rPr>
          <w:sz w:val="22"/>
          <w:szCs w:val="22"/>
          <w:lang w:val="en-US"/>
        </w:rPr>
        <w:t>, e.g. tax advisor</w:t>
      </w:r>
      <w:r w:rsidR="003657F1" w:rsidRPr="00601871">
        <w:rPr>
          <w:sz w:val="22"/>
          <w:szCs w:val="22"/>
          <w:lang w:val="en-US"/>
        </w:rPr>
        <w:t>)</w:t>
      </w:r>
      <w:r w:rsidR="00DE0711" w:rsidRPr="00601871">
        <w:rPr>
          <w:sz w:val="22"/>
          <w:szCs w:val="22"/>
          <w:lang w:val="en-US"/>
        </w:rPr>
        <w:t xml:space="preserve">, (viii) tips. </w:t>
      </w:r>
    </w:p>
    <w:p w14:paraId="4C44CA77" w14:textId="77777777" w:rsidR="00D40F44" w:rsidRPr="00601871" w:rsidRDefault="00D40F44" w:rsidP="00601871">
      <w:pPr>
        <w:jc w:val="both"/>
        <w:rPr>
          <w:sz w:val="22"/>
          <w:szCs w:val="22"/>
          <w:lang w:val="en-US"/>
        </w:rPr>
      </w:pPr>
    </w:p>
    <w:p w14:paraId="2AEBC586" w14:textId="7A2DD978" w:rsidR="00CB46B2" w:rsidRPr="00601871" w:rsidRDefault="00CD0F40" w:rsidP="0021284E">
      <w:pPr>
        <w:jc w:val="both"/>
        <w:rPr>
          <w:sz w:val="22"/>
          <w:szCs w:val="22"/>
          <w:lang w:val="en-US"/>
        </w:rPr>
      </w:pPr>
      <w:r w:rsidRPr="00601871">
        <w:rPr>
          <w:sz w:val="22"/>
          <w:szCs w:val="22"/>
          <w:lang w:val="en-US"/>
        </w:rPr>
        <w:t>The Study made by MIT Center for Energy and Environmental Policy Research</w:t>
      </w:r>
      <w:r w:rsidRPr="00601871">
        <w:rPr>
          <w:rStyle w:val="Refdenotaalpie"/>
          <w:sz w:val="22"/>
          <w:szCs w:val="22"/>
          <w:lang w:val="en-US"/>
        </w:rPr>
        <w:footnoteReference w:id="2"/>
      </w:r>
      <w:r w:rsidRPr="00601871">
        <w:rPr>
          <w:sz w:val="22"/>
          <w:szCs w:val="22"/>
          <w:lang w:val="en-US"/>
        </w:rPr>
        <w:t xml:space="preserve"> consider</w:t>
      </w:r>
      <w:r w:rsidR="00601871">
        <w:rPr>
          <w:sz w:val="22"/>
          <w:szCs w:val="22"/>
          <w:lang w:val="en-US"/>
        </w:rPr>
        <w:t>ed</w:t>
      </w:r>
      <w:r w:rsidRPr="00601871">
        <w:rPr>
          <w:sz w:val="22"/>
          <w:szCs w:val="22"/>
          <w:lang w:val="en-US"/>
        </w:rPr>
        <w:t xml:space="preserve"> </w:t>
      </w:r>
      <w:r w:rsidR="0021284E">
        <w:rPr>
          <w:sz w:val="22"/>
          <w:szCs w:val="22"/>
          <w:lang w:val="en-US"/>
        </w:rPr>
        <w:t>that</w:t>
      </w:r>
      <w:r w:rsidRPr="00601871">
        <w:rPr>
          <w:sz w:val="22"/>
          <w:szCs w:val="22"/>
          <w:lang w:val="en-US"/>
        </w:rPr>
        <w:t xml:space="preserve">, </w:t>
      </w:r>
      <w:r w:rsidR="00CB46B2" w:rsidRPr="00601871">
        <w:rPr>
          <w:sz w:val="22"/>
          <w:szCs w:val="22"/>
          <w:lang w:val="en-US"/>
        </w:rPr>
        <w:t xml:space="preserve">drivers, </w:t>
      </w:r>
      <w:r w:rsidR="00EC6CB5" w:rsidRPr="00601871">
        <w:rPr>
          <w:sz w:val="22"/>
          <w:szCs w:val="22"/>
          <w:lang w:val="en-US"/>
        </w:rPr>
        <w:t xml:space="preserve">per mile, </w:t>
      </w:r>
      <w:r w:rsidRPr="00601871">
        <w:rPr>
          <w:sz w:val="22"/>
          <w:szCs w:val="22"/>
          <w:lang w:val="en-US"/>
        </w:rPr>
        <w:t xml:space="preserve">approximately, </w:t>
      </w:r>
      <w:r w:rsidR="00EC6CB5" w:rsidRPr="00601871">
        <w:rPr>
          <w:sz w:val="22"/>
          <w:szCs w:val="22"/>
          <w:lang w:val="en-US"/>
        </w:rPr>
        <w:t>have a median of</w:t>
      </w:r>
      <w:r w:rsidR="00CB46B2" w:rsidRPr="00601871">
        <w:rPr>
          <w:sz w:val="22"/>
          <w:szCs w:val="22"/>
          <w:lang w:val="en-US"/>
        </w:rPr>
        <w:t>:</w:t>
      </w:r>
    </w:p>
    <w:p w14:paraId="79265227" w14:textId="77777777" w:rsidR="00CD0F40" w:rsidRPr="00601871" w:rsidRDefault="00CD0F40" w:rsidP="00601871">
      <w:pPr>
        <w:jc w:val="both"/>
        <w:rPr>
          <w:sz w:val="22"/>
          <w:szCs w:val="22"/>
          <w:lang w:val="en-US"/>
        </w:rPr>
      </w:pPr>
    </w:p>
    <w:tbl>
      <w:tblPr>
        <w:tblStyle w:val="Tablaconcuadrcula"/>
        <w:tblW w:w="8506" w:type="dxa"/>
        <w:tblLook w:val="04A0" w:firstRow="1" w:lastRow="0" w:firstColumn="1" w:lastColumn="0" w:noHBand="0" w:noVBand="1"/>
      </w:tblPr>
      <w:tblGrid>
        <w:gridCol w:w="4157"/>
        <w:gridCol w:w="4349"/>
      </w:tblGrid>
      <w:tr w:rsidR="00BA6C8E" w:rsidRPr="00601871" w14:paraId="77E5A91C" w14:textId="77777777" w:rsidTr="0021284E">
        <w:tc>
          <w:tcPr>
            <w:tcW w:w="4157" w:type="dxa"/>
          </w:tcPr>
          <w:p w14:paraId="676DAFC1" w14:textId="6839B1CF" w:rsidR="00BA6C8E" w:rsidRPr="00601871" w:rsidRDefault="00BA6C8E" w:rsidP="00601871">
            <w:pPr>
              <w:jc w:val="center"/>
              <w:rPr>
                <w:b/>
                <w:i/>
                <w:szCs w:val="22"/>
                <w:lang w:val="en-US"/>
              </w:rPr>
            </w:pPr>
            <w:r w:rsidRPr="00601871">
              <w:rPr>
                <w:b/>
                <w:i/>
                <w:szCs w:val="22"/>
                <w:lang w:val="en-US"/>
              </w:rPr>
              <w:t>Concept</w:t>
            </w:r>
          </w:p>
        </w:tc>
        <w:tc>
          <w:tcPr>
            <w:tcW w:w="4349" w:type="dxa"/>
          </w:tcPr>
          <w:p w14:paraId="75FC6E87" w14:textId="45E20220" w:rsidR="00BA6C8E" w:rsidRPr="00601871" w:rsidRDefault="00BA6C8E" w:rsidP="00601871">
            <w:pPr>
              <w:jc w:val="center"/>
              <w:rPr>
                <w:b/>
                <w:i/>
                <w:szCs w:val="22"/>
                <w:lang w:val="en-US"/>
              </w:rPr>
            </w:pPr>
            <w:r w:rsidRPr="00601871">
              <w:rPr>
                <w:b/>
                <w:i/>
                <w:szCs w:val="22"/>
                <w:lang w:val="en-US"/>
              </w:rPr>
              <w:t>Median $/per mile</w:t>
            </w:r>
          </w:p>
        </w:tc>
      </w:tr>
      <w:tr w:rsidR="00BA6C8E" w:rsidRPr="00601871" w14:paraId="56AE8D63" w14:textId="77777777" w:rsidTr="0021284E">
        <w:tc>
          <w:tcPr>
            <w:tcW w:w="4157" w:type="dxa"/>
          </w:tcPr>
          <w:p w14:paraId="40959294" w14:textId="1E9C3AF5" w:rsidR="00BA6C8E" w:rsidRPr="00601871" w:rsidRDefault="00BA6C8E" w:rsidP="00601871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601871">
              <w:rPr>
                <w:b/>
                <w:sz w:val="22"/>
                <w:szCs w:val="22"/>
                <w:lang w:val="en-US"/>
              </w:rPr>
              <w:t>Revenue</w:t>
            </w:r>
          </w:p>
        </w:tc>
        <w:tc>
          <w:tcPr>
            <w:tcW w:w="4349" w:type="dxa"/>
          </w:tcPr>
          <w:p w14:paraId="452517E6" w14:textId="3FE11FF2" w:rsidR="00BA6C8E" w:rsidRPr="00601871" w:rsidRDefault="00BA6C8E" w:rsidP="00601871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601871">
              <w:rPr>
                <w:b/>
                <w:sz w:val="22"/>
                <w:szCs w:val="22"/>
                <w:lang w:val="en-US"/>
              </w:rPr>
              <w:t>$ 0,592 before expenses</w:t>
            </w:r>
            <w:r w:rsidR="00942C81" w:rsidRPr="00601871">
              <w:rPr>
                <w:rStyle w:val="Refdenotaalpie"/>
                <w:b/>
                <w:sz w:val="22"/>
                <w:szCs w:val="22"/>
                <w:lang w:val="en-US"/>
              </w:rPr>
              <w:footnoteReference w:id="3"/>
            </w:r>
          </w:p>
        </w:tc>
      </w:tr>
      <w:tr w:rsidR="00BA6C8E" w:rsidRPr="00601871" w14:paraId="1715C8DC" w14:textId="77777777" w:rsidTr="0021284E">
        <w:tc>
          <w:tcPr>
            <w:tcW w:w="4157" w:type="dxa"/>
          </w:tcPr>
          <w:p w14:paraId="0172FCAA" w14:textId="712DBDB3" w:rsidR="00BA6C8E" w:rsidRPr="00601871" w:rsidRDefault="00BA6C8E" w:rsidP="00601871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Insurance</w:t>
            </w:r>
            <w:proofErr w:type="spellEnd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 xml:space="preserve">, </w:t>
            </w:r>
            <w:proofErr w:type="spellStart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Maintenance</w:t>
            </w:r>
            <w:proofErr w:type="spellEnd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 xml:space="preserve"> and </w:t>
            </w:r>
            <w:proofErr w:type="spellStart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Repair</w:t>
            </w:r>
            <w:proofErr w:type="spellEnd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costs</w:t>
            </w:r>
            <w:proofErr w:type="spellEnd"/>
          </w:p>
        </w:tc>
        <w:tc>
          <w:tcPr>
            <w:tcW w:w="4349" w:type="dxa"/>
          </w:tcPr>
          <w:p w14:paraId="3353B63D" w14:textId="7A4A9F34" w:rsidR="00BA6C8E" w:rsidRPr="00601871" w:rsidRDefault="00BA6C8E" w:rsidP="00601871">
            <w:pPr>
              <w:jc w:val="both"/>
              <w:rPr>
                <w:sz w:val="22"/>
                <w:szCs w:val="22"/>
                <w:lang w:val="en-US"/>
              </w:rPr>
            </w:pPr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$ 0.13</w:t>
            </w:r>
          </w:p>
        </w:tc>
      </w:tr>
      <w:tr w:rsidR="00BA6C8E" w:rsidRPr="00601871" w14:paraId="7FE16C00" w14:textId="77777777" w:rsidTr="0021284E">
        <w:tc>
          <w:tcPr>
            <w:tcW w:w="4157" w:type="dxa"/>
          </w:tcPr>
          <w:p w14:paraId="39C76DCF" w14:textId="7FAD1750" w:rsidR="00BA6C8E" w:rsidRPr="00601871" w:rsidRDefault="00BA6C8E" w:rsidP="00601871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Depreciation</w:t>
            </w:r>
            <w:proofErr w:type="spellEnd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costs</w:t>
            </w:r>
            <w:proofErr w:type="spellEnd"/>
          </w:p>
        </w:tc>
        <w:tc>
          <w:tcPr>
            <w:tcW w:w="4349" w:type="dxa"/>
          </w:tcPr>
          <w:p w14:paraId="32CC8424" w14:textId="194EE677" w:rsidR="00BA6C8E" w:rsidRPr="00601871" w:rsidRDefault="00BA6C8E" w:rsidP="00601871">
            <w:pPr>
              <w:jc w:val="both"/>
              <w:rPr>
                <w:sz w:val="22"/>
                <w:szCs w:val="22"/>
                <w:lang w:val="en-US"/>
              </w:rPr>
            </w:pPr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$0 .05</w:t>
            </w:r>
            <w:r w:rsidRPr="00601871">
              <w:rPr>
                <w:rStyle w:val="Refdenotaalpie"/>
                <w:rFonts w:eastAsia="Times New Roman" w:cs="Times New Roman"/>
                <w:sz w:val="22"/>
                <w:szCs w:val="22"/>
                <w:lang w:eastAsia="es-ES_tradnl"/>
              </w:rPr>
              <w:footnoteReference w:id="4"/>
            </w:r>
          </w:p>
        </w:tc>
      </w:tr>
      <w:tr w:rsidR="00BA6C8E" w:rsidRPr="00601871" w14:paraId="53E1F5B6" w14:textId="77777777" w:rsidTr="0021284E">
        <w:tc>
          <w:tcPr>
            <w:tcW w:w="4157" w:type="dxa"/>
          </w:tcPr>
          <w:p w14:paraId="05F93191" w14:textId="02EC2F96" w:rsidR="00BA6C8E" w:rsidRPr="00601871" w:rsidRDefault="00BA6C8E" w:rsidP="00601871">
            <w:pPr>
              <w:jc w:val="both"/>
              <w:rPr>
                <w:sz w:val="22"/>
                <w:szCs w:val="22"/>
                <w:lang w:val="en-US"/>
              </w:rPr>
            </w:pPr>
            <w:r w:rsidRPr="00601871">
              <w:rPr>
                <w:sz w:val="22"/>
                <w:szCs w:val="22"/>
                <w:lang w:val="en-US"/>
              </w:rPr>
              <w:t>Fuel</w:t>
            </w:r>
          </w:p>
        </w:tc>
        <w:tc>
          <w:tcPr>
            <w:tcW w:w="4349" w:type="dxa"/>
          </w:tcPr>
          <w:p w14:paraId="43EF3B00" w14:textId="4808BBD3" w:rsidR="00BA6C8E" w:rsidRPr="00601871" w:rsidRDefault="00BA6C8E" w:rsidP="00601871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>between</w:t>
            </w:r>
            <w:proofErr w:type="spellEnd"/>
            <w:r w:rsidRPr="00601871">
              <w:rPr>
                <w:rFonts w:eastAsia="Times New Roman" w:cs="Times New Roman"/>
                <w:sz w:val="22"/>
                <w:szCs w:val="22"/>
                <w:lang w:eastAsia="es-ES_tradnl"/>
              </w:rPr>
              <w:t xml:space="preserve"> $ .05 and $ 0.27</w:t>
            </w:r>
          </w:p>
        </w:tc>
      </w:tr>
      <w:tr w:rsidR="00942C81" w:rsidRPr="00601871" w14:paraId="615C794C" w14:textId="77777777" w:rsidTr="0021284E">
        <w:tc>
          <w:tcPr>
            <w:tcW w:w="4157" w:type="dxa"/>
          </w:tcPr>
          <w:p w14:paraId="7A63BA5A" w14:textId="33A63E10" w:rsidR="00942C81" w:rsidRPr="00601871" w:rsidRDefault="00942C81" w:rsidP="00601871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601871">
              <w:rPr>
                <w:b/>
                <w:sz w:val="22"/>
                <w:szCs w:val="22"/>
                <w:lang w:val="en-US"/>
              </w:rPr>
              <w:t>Total Costs</w:t>
            </w:r>
          </w:p>
        </w:tc>
        <w:tc>
          <w:tcPr>
            <w:tcW w:w="4349" w:type="dxa"/>
          </w:tcPr>
          <w:p w14:paraId="5EF1126B" w14:textId="09780B98" w:rsidR="00942C81" w:rsidRPr="00601871" w:rsidRDefault="00942C81" w:rsidP="00601871">
            <w:pPr>
              <w:jc w:val="both"/>
              <w:rPr>
                <w:rFonts w:eastAsia="Times New Roman" w:cs="Times New Roman"/>
                <w:b/>
                <w:sz w:val="22"/>
                <w:szCs w:val="22"/>
                <w:lang w:eastAsia="es-ES_tradnl"/>
              </w:rPr>
            </w:pPr>
            <w:r w:rsidRPr="00601871">
              <w:rPr>
                <w:rFonts w:eastAsia="Times New Roman" w:cs="Times New Roman"/>
                <w:b/>
                <w:sz w:val="22"/>
                <w:szCs w:val="22"/>
                <w:lang w:eastAsia="es-ES_tradnl"/>
              </w:rPr>
              <w:t>$ 0.3</w:t>
            </w:r>
            <w:r w:rsidRPr="00601871">
              <w:rPr>
                <w:rStyle w:val="Refdenotaalpie"/>
                <w:rFonts w:eastAsia="Times New Roman" w:cs="Times New Roman"/>
                <w:b/>
                <w:sz w:val="22"/>
                <w:szCs w:val="22"/>
                <w:lang w:eastAsia="es-ES_tradnl"/>
              </w:rPr>
              <w:footnoteReference w:id="5"/>
            </w:r>
            <w:r w:rsidR="00601871">
              <w:rPr>
                <w:rFonts w:eastAsia="Times New Roman" w:cs="Times New Roman"/>
                <w:b/>
                <w:sz w:val="22"/>
                <w:szCs w:val="22"/>
                <w:lang w:eastAsia="es-ES_tradnl"/>
              </w:rPr>
              <w:t xml:space="preserve"> </w:t>
            </w:r>
            <w:r w:rsidR="00601871" w:rsidRPr="00601871">
              <w:rPr>
                <w:rFonts w:eastAsia="Times New Roman" w:cs="Times New Roman"/>
                <w:b/>
                <w:i/>
                <w:sz w:val="21"/>
                <w:szCs w:val="22"/>
                <w:lang w:eastAsia="es-ES_tradnl"/>
              </w:rPr>
              <w:t>(</w:t>
            </w:r>
            <w:proofErr w:type="spellStart"/>
            <w:r w:rsidR="00601871" w:rsidRPr="00601871">
              <w:rPr>
                <w:rFonts w:eastAsia="Times New Roman" w:cs="Times New Roman"/>
                <w:b/>
                <w:i/>
                <w:sz w:val="21"/>
                <w:szCs w:val="22"/>
                <w:lang w:eastAsia="es-ES_tradnl"/>
              </w:rPr>
              <w:t>approx</w:t>
            </w:r>
            <w:proofErr w:type="spellEnd"/>
            <w:r w:rsidR="00601871" w:rsidRPr="00601871">
              <w:rPr>
                <w:rFonts w:eastAsia="Times New Roman" w:cs="Times New Roman"/>
                <w:b/>
                <w:i/>
                <w:sz w:val="21"/>
                <w:szCs w:val="22"/>
                <w:lang w:eastAsia="es-ES_tradnl"/>
              </w:rPr>
              <w:t>.)</w:t>
            </w:r>
          </w:p>
        </w:tc>
      </w:tr>
      <w:tr w:rsidR="00942C81" w:rsidRPr="00601871" w14:paraId="3A475686" w14:textId="77777777" w:rsidTr="0021284E">
        <w:tc>
          <w:tcPr>
            <w:tcW w:w="4157" w:type="dxa"/>
          </w:tcPr>
          <w:p w14:paraId="68BB7A20" w14:textId="5DCF1AD6" w:rsidR="00942C81" w:rsidRPr="00601871" w:rsidRDefault="00942C81" w:rsidP="00601871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601871">
              <w:rPr>
                <w:b/>
                <w:sz w:val="22"/>
                <w:szCs w:val="22"/>
                <w:lang w:val="en-US"/>
              </w:rPr>
              <w:t>Profits before taxes</w:t>
            </w:r>
          </w:p>
        </w:tc>
        <w:tc>
          <w:tcPr>
            <w:tcW w:w="4349" w:type="dxa"/>
          </w:tcPr>
          <w:p w14:paraId="7B48FE0E" w14:textId="6D455A82" w:rsidR="00942C81" w:rsidRPr="00601871" w:rsidRDefault="00942C81" w:rsidP="00601871">
            <w:pPr>
              <w:jc w:val="both"/>
              <w:rPr>
                <w:rFonts w:eastAsia="Times New Roman" w:cs="Times New Roman"/>
                <w:b/>
                <w:sz w:val="22"/>
                <w:szCs w:val="22"/>
                <w:lang w:eastAsia="es-ES_tradnl"/>
              </w:rPr>
            </w:pPr>
            <w:r w:rsidRPr="00601871">
              <w:rPr>
                <w:rFonts w:eastAsia="Times New Roman" w:cs="Times New Roman"/>
                <w:b/>
                <w:sz w:val="22"/>
                <w:szCs w:val="22"/>
                <w:lang w:eastAsia="es-ES_tradnl"/>
              </w:rPr>
              <w:t>$ 0.29</w:t>
            </w:r>
          </w:p>
        </w:tc>
      </w:tr>
      <w:tr w:rsidR="00942C81" w:rsidRPr="00601871" w14:paraId="527E9CFC" w14:textId="77777777" w:rsidTr="0021284E">
        <w:tc>
          <w:tcPr>
            <w:tcW w:w="4157" w:type="dxa"/>
          </w:tcPr>
          <w:p w14:paraId="403D7F11" w14:textId="5E594CD5" w:rsidR="00942C81" w:rsidRPr="00601871" w:rsidRDefault="00942C81" w:rsidP="00601871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601871">
              <w:rPr>
                <w:b/>
                <w:sz w:val="22"/>
                <w:szCs w:val="22"/>
                <w:lang w:val="en-US"/>
              </w:rPr>
              <w:t>Standard mileage deduction</w:t>
            </w:r>
          </w:p>
        </w:tc>
        <w:tc>
          <w:tcPr>
            <w:tcW w:w="4349" w:type="dxa"/>
          </w:tcPr>
          <w:p w14:paraId="1240941B" w14:textId="22E566B1" w:rsidR="00942C81" w:rsidRPr="00601871" w:rsidRDefault="00942C81" w:rsidP="00601871">
            <w:pPr>
              <w:jc w:val="both"/>
              <w:rPr>
                <w:rFonts w:eastAsia="Times New Roman" w:cs="Times New Roman"/>
                <w:b/>
                <w:sz w:val="22"/>
                <w:szCs w:val="22"/>
                <w:lang w:eastAsia="es-ES_tradnl"/>
              </w:rPr>
            </w:pPr>
            <w:r w:rsidRPr="00601871">
              <w:rPr>
                <w:rFonts w:eastAsia="Times New Roman" w:cs="Times New Roman"/>
                <w:b/>
                <w:sz w:val="22"/>
                <w:szCs w:val="22"/>
                <w:lang w:eastAsia="es-ES_tradnl"/>
              </w:rPr>
              <w:t>$0.54</w:t>
            </w:r>
          </w:p>
        </w:tc>
      </w:tr>
    </w:tbl>
    <w:p w14:paraId="4E2A922F" w14:textId="77777777" w:rsidR="00CD0F40" w:rsidRPr="00601871" w:rsidRDefault="00CD0F40" w:rsidP="00601871">
      <w:pPr>
        <w:jc w:val="both"/>
        <w:rPr>
          <w:sz w:val="22"/>
          <w:szCs w:val="22"/>
          <w:lang w:val="en-US"/>
        </w:rPr>
      </w:pPr>
    </w:p>
    <w:p w14:paraId="445E63AB" w14:textId="4BFCCFD2" w:rsidR="00A20CF6" w:rsidRPr="00601871" w:rsidRDefault="00601871" w:rsidP="00601871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="00942C81" w:rsidRPr="00601871">
        <w:rPr>
          <w:sz w:val="22"/>
          <w:szCs w:val="22"/>
          <w:lang w:val="en-US"/>
        </w:rPr>
        <w:t>axes are significantly larger than the total cost</w:t>
      </w:r>
      <w:r>
        <w:rPr>
          <w:sz w:val="22"/>
          <w:szCs w:val="22"/>
          <w:lang w:val="en-US"/>
        </w:rPr>
        <w:t>s</w:t>
      </w:r>
      <w:r w:rsidR="00942C81" w:rsidRPr="00601871">
        <w:rPr>
          <w:sz w:val="22"/>
          <w:szCs w:val="22"/>
          <w:lang w:val="en-US"/>
        </w:rPr>
        <w:t xml:space="preserve">, and 47% of drivers report fewer profits than </w:t>
      </w:r>
      <w:r w:rsidR="00A20CF6" w:rsidRPr="00601871">
        <w:rPr>
          <w:sz w:val="22"/>
          <w:szCs w:val="22"/>
          <w:lang w:val="en-US"/>
        </w:rPr>
        <w:t>the standard mileage deduction. Although they are earning as a median per month $ 309.7, with a taxable median income of $ 52.85. The median income per hour is $ 3.37/hour.</w:t>
      </w:r>
      <w:r>
        <w:rPr>
          <w:sz w:val="22"/>
          <w:szCs w:val="22"/>
          <w:lang w:val="en-US"/>
        </w:rPr>
        <w:t xml:space="preserve"> </w:t>
      </w:r>
      <w:r w:rsidR="00A20CF6" w:rsidRPr="00601871">
        <w:rPr>
          <w:sz w:val="22"/>
          <w:szCs w:val="22"/>
          <w:lang w:val="en-US"/>
        </w:rPr>
        <w:t xml:space="preserve">In </w:t>
      </w:r>
      <w:r>
        <w:rPr>
          <w:sz w:val="22"/>
          <w:szCs w:val="22"/>
          <w:lang w:val="en-US"/>
        </w:rPr>
        <w:t>daily practice</w:t>
      </w:r>
      <w:r w:rsidR="00A20CF6" w:rsidRPr="00601871">
        <w:rPr>
          <w:sz w:val="22"/>
          <w:szCs w:val="22"/>
          <w:lang w:val="en-US"/>
        </w:rPr>
        <w:t>,</w:t>
      </w:r>
      <w:r w:rsidR="00A44375">
        <w:rPr>
          <w:sz w:val="22"/>
          <w:szCs w:val="22"/>
          <w:lang w:val="en-US"/>
        </w:rPr>
        <w:t xml:space="preserve"> some in their tax filed</w:t>
      </w:r>
      <w:r w:rsidR="00A20CF6" w:rsidRPr="00601871">
        <w:rPr>
          <w:sz w:val="22"/>
          <w:szCs w:val="22"/>
          <w:lang w:val="en-US"/>
        </w:rPr>
        <w:t xml:space="preserve"> negate income, adding losses or using others nets.</w:t>
      </w:r>
      <w:r>
        <w:rPr>
          <w:sz w:val="22"/>
          <w:szCs w:val="22"/>
          <w:lang w:val="en-US"/>
        </w:rPr>
        <w:t xml:space="preserve"> </w:t>
      </w:r>
      <w:r w:rsidR="005A26E8" w:rsidRPr="00601871">
        <w:rPr>
          <w:sz w:val="22"/>
          <w:szCs w:val="22"/>
          <w:lang w:val="en-US"/>
        </w:rPr>
        <w:t xml:space="preserve">Approximately 30% of the drivers are </w:t>
      </w:r>
      <w:r w:rsidR="00E542CA">
        <w:rPr>
          <w:sz w:val="22"/>
          <w:szCs w:val="22"/>
          <w:lang w:val="en-US"/>
        </w:rPr>
        <w:t>failing</w:t>
      </w:r>
      <w:r w:rsidR="005A26E8" w:rsidRPr="00601871">
        <w:rPr>
          <w:sz w:val="22"/>
          <w:szCs w:val="22"/>
          <w:lang w:val="en-US"/>
        </w:rPr>
        <w:t xml:space="preserve"> to earn profit per mile.</w:t>
      </w:r>
      <w:r>
        <w:rPr>
          <w:rStyle w:val="Refdenotaalpie"/>
          <w:sz w:val="22"/>
          <w:szCs w:val="22"/>
          <w:lang w:val="en-US"/>
        </w:rPr>
        <w:footnoteReference w:id="6"/>
      </w:r>
    </w:p>
    <w:sectPr w:rsidR="00A20CF6" w:rsidRPr="00601871" w:rsidSect="00EA55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76477" w14:textId="77777777" w:rsidR="00765BE3" w:rsidRDefault="00765BE3" w:rsidP="002966BB">
      <w:r>
        <w:separator/>
      </w:r>
    </w:p>
  </w:endnote>
  <w:endnote w:type="continuationSeparator" w:id="0">
    <w:p w14:paraId="311B7F1C" w14:textId="77777777" w:rsidR="00765BE3" w:rsidRDefault="00765BE3" w:rsidP="0029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9FA99" w14:textId="77777777" w:rsidR="00765BE3" w:rsidRDefault="00765BE3" w:rsidP="002966BB">
      <w:r>
        <w:separator/>
      </w:r>
    </w:p>
  </w:footnote>
  <w:footnote w:type="continuationSeparator" w:id="0">
    <w:p w14:paraId="1D6AA57C" w14:textId="77777777" w:rsidR="00765BE3" w:rsidRDefault="00765BE3" w:rsidP="002966BB">
      <w:r>
        <w:continuationSeparator/>
      </w:r>
    </w:p>
  </w:footnote>
  <w:footnote w:id="1">
    <w:p w14:paraId="01C7DB52" w14:textId="14880A3D" w:rsidR="005D31A8" w:rsidRPr="006B6A5E" w:rsidRDefault="005D31A8" w:rsidP="00601871">
      <w:pPr>
        <w:jc w:val="both"/>
        <w:rPr>
          <w:color w:val="000000" w:themeColor="text1"/>
          <w:sz w:val="20"/>
          <w:szCs w:val="20"/>
          <w:lang w:val="en-US"/>
        </w:rPr>
      </w:pPr>
      <w:r w:rsidRPr="006B6A5E">
        <w:rPr>
          <w:rStyle w:val="Refdenotaalpie"/>
          <w:color w:val="000000" w:themeColor="text1"/>
          <w:sz w:val="20"/>
          <w:szCs w:val="20"/>
        </w:rPr>
        <w:footnoteRef/>
      </w:r>
      <w:r w:rsidRPr="006B6A5E">
        <w:rPr>
          <w:color w:val="000000" w:themeColor="text1"/>
          <w:sz w:val="20"/>
          <w:szCs w:val="20"/>
        </w:rPr>
        <w:t xml:space="preserve"> </w:t>
      </w:r>
      <w:proofErr w:type="spellStart"/>
      <w:r w:rsidRPr="006B6A5E">
        <w:rPr>
          <w:color w:val="000000" w:themeColor="text1"/>
          <w:sz w:val="20"/>
          <w:szCs w:val="20"/>
        </w:rPr>
        <w:t>McKinsey</w:t>
      </w:r>
      <w:proofErr w:type="spellEnd"/>
      <w:r w:rsidRPr="006B6A5E">
        <w:rPr>
          <w:color w:val="000000" w:themeColor="text1"/>
          <w:sz w:val="20"/>
          <w:szCs w:val="20"/>
        </w:rPr>
        <w:t>: “</w:t>
      </w:r>
      <w:proofErr w:type="spellStart"/>
      <w:r w:rsidRPr="006B6A5E">
        <w:rPr>
          <w:color w:val="000000" w:themeColor="text1"/>
          <w:sz w:val="20"/>
          <w:szCs w:val="20"/>
        </w:rPr>
        <w:t>Independent</w:t>
      </w:r>
      <w:proofErr w:type="spellEnd"/>
      <w:r w:rsidRPr="006B6A5E">
        <w:rPr>
          <w:color w:val="000000" w:themeColor="text1"/>
          <w:sz w:val="20"/>
          <w:szCs w:val="20"/>
        </w:rPr>
        <w:t xml:space="preserve"> work: </w:t>
      </w:r>
      <w:proofErr w:type="spellStart"/>
      <w:r w:rsidRPr="006B6A5E">
        <w:rPr>
          <w:color w:val="000000" w:themeColor="text1"/>
          <w:sz w:val="20"/>
          <w:szCs w:val="20"/>
        </w:rPr>
        <w:t>choice</w:t>
      </w:r>
      <w:proofErr w:type="spellEnd"/>
      <w:r w:rsidRPr="006B6A5E">
        <w:rPr>
          <w:color w:val="000000" w:themeColor="text1"/>
          <w:sz w:val="20"/>
          <w:szCs w:val="20"/>
        </w:rPr>
        <w:t xml:space="preserve">, </w:t>
      </w:r>
      <w:proofErr w:type="spellStart"/>
      <w:r w:rsidRPr="006B6A5E">
        <w:rPr>
          <w:color w:val="000000" w:themeColor="text1"/>
          <w:sz w:val="20"/>
          <w:szCs w:val="20"/>
        </w:rPr>
        <w:t>necessity</w:t>
      </w:r>
      <w:proofErr w:type="spellEnd"/>
      <w:r w:rsidRPr="006B6A5E">
        <w:rPr>
          <w:color w:val="000000" w:themeColor="text1"/>
          <w:sz w:val="20"/>
          <w:szCs w:val="20"/>
        </w:rPr>
        <w:t xml:space="preserve">, and the </w:t>
      </w:r>
      <w:proofErr w:type="spellStart"/>
      <w:r w:rsidRPr="006B6A5E">
        <w:rPr>
          <w:color w:val="000000" w:themeColor="text1"/>
          <w:sz w:val="20"/>
          <w:szCs w:val="20"/>
        </w:rPr>
        <w:t>Gig</w:t>
      </w:r>
      <w:proofErr w:type="spellEnd"/>
      <w:r w:rsidRPr="006B6A5E">
        <w:rPr>
          <w:color w:val="000000" w:themeColor="text1"/>
          <w:sz w:val="20"/>
          <w:szCs w:val="20"/>
        </w:rPr>
        <w:t xml:space="preserve"> Economy”. URL: </w:t>
      </w:r>
      <w:hyperlink r:id="rId1" w:history="1">
        <w:r w:rsidRPr="006B6A5E">
          <w:rPr>
            <w:rStyle w:val="Hipervnculo"/>
            <w:color w:val="000000" w:themeColor="text1"/>
            <w:sz w:val="20"/>
            <w:szCs w:val="20"/>
            <w:lang w:val="en-US"/>
          </w:rPr>
          <w:t>https://www.mckinsey.com/~/media/McKinsey/Featured%20Insights/Employment%20and%20Growth/Independent%20work%20Choice%20necessity%20and%20the%20gig%20economy/Independent-Work-Choice-necessity-and-the-gig-economy-Executive-Summary.ashx</w:t>
        </w:r>
      </w:hyperlink>
      <w:r w:rsidRPr="006B6A5E">
        <w:rPr>
          <w:color w:val="000000" w:themeColor="text1"/>
          <w:sz w:val="20"/>
          <w:szCs w:val="20"/>
          <w:lang w:val="en-US"/>
        </w:rPr>
        <w:t xml:space="preserve"> </w:t>
      </w:r>
    </w:p>
  </w:footnote>
  <w:footnote w:id="2">
    <w:p w14:paraId="29FCF917" w14:textId="2A223074" w:rsidR="00CD0F40" w:rsidRPr="006B6A5E" w:rsidRDefault="00CD0F40" w:rsidP="00601871">
      <w:pPr>
        <w:pStyle w:val="Textonotapie"/>
        <w:jc w:val="both"/>
        <w:rPr>
          <w:color w:val="000000" w:themeColor="text1"/>
          <w:sz w:val="20"/>
          <w:szCs w:val="20"/>
          <w:lang w:val="en-US"/>
        </w:rPr>
      </w:pPr>
      <w:r w:rsidRPr="006B6A5E">
        <w:rPr>
          <w:rStyle w:val="Refdenotaalpie"/>
          <w:color w:val="000000" w:themeColor="text1"/>
          <w:sz w:val="20"/>
          <w:szCs w:val="20"/>
        </w:rPr>
        <w:footnoteRef/>
      </w:r>
      <w:r w:rsidRPr="006B6A5E">
        <w:rPr>
          <w:color w:val="000000" w:themeColor="text1"/>
          <w:sz w:val="20"/>
          <w:szCs w:val="20"/>
        </w:rPr>
        <w:t xml:space="preserve"> </w:t>
      </w:r>
      <w:r w:rsidR="005D31A8" w:rsidRPr="006B6A5E">
        <w:rPr>
          <w:color w:val="000000" w:themeColor="text1"/>
          <w:sz w:val="20"/>
          <w:szCs w:val="20"/>
        </w:rPr>
        <w:t>Ibídem</w:t>
      </w:r>
    </w:p>
  </w:footnote>
  <w:footnote w:id="3">
    <w:p w14:paraId="3A936254" w14:textId="14ABDBA0" w:rsidR="00942C81" w:rsidRPr="006B6A5E" w:rsidRDefault="00942C81" w:rsidP="00601871">
      <w:pPr>
        <w:pStyle w:val="Textonotapie"/>
        <w:jc w:val="both"/>
        <w:rPr>
          <w:color w:val="000000" w:themeColor="text1"/>
          <w:sz w:val="20"/>
          <w:szCs w:val="20"/>
          <w:lang w:val="en-US"/>
        </w:rPr>
      </w:pPr>
      <w:r w:rsidRPr="006B6A5E">
        <w:rPr>
          <w:rStyle w:val="Refdenotaalpie"/>
          <w:color w:val="000000" w:themeColor="text1"/>
          <w:sz w:val="20"/>
          <w:szCs w:val="20"/>
        </w:rPr>
        <w:footnoteRef/>
      </w:r>
      <w:r w:rsidRPr="006B6A5E">
        <w:rPr>
          <w:color w:val="000000" w:themeColor="text1"/>
          <w:sz w:val="20"/>
          <w:szCs w:val="20"/>
        </w:rPr>
        <w:t xml:space="preserve"> </w:t>
      </w:r>
      <w:r w:rsidRPr="006B6A5E">
        <w:rPr>
          <w:color w:val="000000" w:themeColor="text1"/>
          <w:sz w:val="20"/>
          <w:szCs w:val="20"/>
          <w:lang w:val="en-US"/>
        </w:rPr>
        <w:t xml:space="preserve">Vary, but infrequently more than $ 1.00/mile. </w:t>
      </w:r>
    </w:p>
  </w:footnote>
  <w:footnote w:id="4">
    <w:p w14:paraId="085A0E20" w14:textId="03B0E07A" w:rsidR="00BA6C8E" w:rsidRPr="006B6A5E" w:rsidRDefault="00BA6C8E" w:rsidP="00601871">
      <w:pPr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 w:rsidRPr="006B6A5E">
        <w:rPr>
          <w:rStyle w:val="Refdenotaalpie"/>
          <w:color w:val="000000" w:themeColor="text1"/>
          <w:sz w:val="20"/>
          <w:szCs w:val="20"/>
        </w:rPr>
        <w:footnoteRef/>
      </w:r>
      <w:r w:rsidRPr="006B6A5E">
        <w:rPr>
          <w:color w:val="000000" w:themeColor="text1"/>
          <w:sz w:val="20"/>
          <w:szCs w:val="20"/>
        </w:rPr>
        <w:t xml:space="preserve"> </w:t>
      </w:r>
      <w:r w:rsidRPr="006B6A5E">
        <w:rPr>
          <w:color w:val="000000" w:themeColor="text1"/>
          <w:sz w:val="20"/>
          <w:szCs w:val="20"/>
          <w:lang w:val="en-US"/>
        </w:rPr>
        <w:t>Closely</w:t>
      </w:r>
      <w:r w:rsidRPr="006B6A5E">
        <w:rPr>
          <w:rFonts w:eastAsia="Times New Roman" w:cs="Times New Roman"/>
          <w:color w:val="000000" w:themeColor="text1"/>
          <w:sz w:val="20"/>
          <w:szCs w:val="20"/>
          <w:lang w:val="en-US" w:eastAsia="es-ES_tradnl"/>
        </w:rPr>
        <w:t xml:space="preserve"> 90% have depreciation costs fewer than $0.10/mile</w:t>
      </w:r>
    </w:p>
  </w:footnote>
  <w:footnote w:id="5">
    <w:p w14:paraId="27D39F47" w14:textId="39B3C032" w:rsidR="00942C81" w:rsidRPr="006B6A5E" w:rsidRDefault="00942C81" w:rsidP="00601871">
      <w:pPr>
        <w:pStyle w:val="Textonotapie"/>
        <w:jc w:val="both"/>
        <w:rPr>
          <w:color w:val="000000" w:themeColor="text1"/>
          <w:sz w:val="20"/>
          <w:szCs w:val="20"/>
          <w:lang w:val="en-US"/>
        </w:rPr>
      </w:pPr>
      <w:r w:rsidRPr="006B6A5E">
        <w:rPr>
          <w:rStyle w:val="Refdenotaalpie"/>
          <w:color w:val="000000" w:themeColor="text1"/>
          <w:sz w:val="20"/>
          <w:szCs w:val="20"/>
        </w:rPr>
        <w:footnoteRef/>
      </w:r>
      <w:r w:rsidRPr="006B6A5E">
        <w:rPr>
          <w:color w:val="000000" w:themeColor="text1"/>
          <w:sz w:val="20"/>
          <w:szCs w:val="20"/>
        </w:rPr>
        <w:t xml:space="preserve"> </w:t>
      </w:r>
      <w:r w:rsidRPr="006B6A5E">
        <w:rPr>
          <w:color w:val="000000" w:themeColor="text1"/>
          <w:sz w:val="20"/>
          <w:szCs w:val="20"/>
          <w:lang w:val="en-US"/>
        </w:rPr>
        <w:t xml:space="preserve">A minor exceed % .50/mile. </w:t>
      </w:r>
    </w:p>
  </w:footnote>
  <w:footnote w:id="6">
    <w:p w14:paraId="7E3ECD94" w14:textId="25C25A48" w:rsidR="00601871" w:rsidRPr="006B6A5E" w:rsidRDefault="00601871">
      <w:pPr>
        <w:pStyle w:val="Textonotapie"/>
        <w:rPr>
          <w:sz w:val="20"/>
          <w:szCs w:val="20"/>
          <w:lang w:val="en-US"/>
        </w:rPr>
      </w:pPr>
      <w:r w:rsidRPr="006B6A5E">
        <w:rPr>
          <w:rStyle w:val="Refdenotaalpie"/>
          <w:sz w:val="20"/>
          <w:szCs w:val="20"/>
        </w:rPr>
        <w:footnoteRef/>
      </w:r>
      <w:r w:rsidRPr="006B6A5E">
        <w:rPr>
          <w:sz w:val="20"/>
          <w:szCs w:val="20"/>
        </w:rPr>
        <w:t xml:space="preserve"> </w:t>
      </w:r>
      <w:r w:rsidRPr="006B6A5E">
        <w:rPr>
          <w:color w:val="000000" w:themeColor="text1"/>
          <w:sz w:val="20"/>
          <w:szCs w:val="20"/>
          <w:lang w:val="en-US"/>
        </w:rPr>
        <w:t xml:space="preserve">Preston 2017, Singer-Vine and O’Donovan 2016, Earnest 2017, Hall et al 2017, Castillo et al 2017: all referenced in “The Economics of Ride-Hailing: Driver Revenue, Expenses and Taxes” by </w:t>
      </w:r>
      <w:proofErr w:type="spellStart"/>
      <w:r w:rsidRPr="006B6A5E">
        <w:rPr>
          <w:color w:val="000000" w:themeColor="text1"/>
          <w:sz w:val="20"/>
          <w:szCs w:val="20"/>
          <w:lang w:val="en-US"/>
        </w:rPr>
        <w:t>Zoepf</w:t>
      </w:r>
      <w:proofErr w:type="spellEnd"/>
      <w:r w:rsidRPr="006B6A5E">
        <w:rPr>
          <w:color w:val="000000" w:themeColor="text1"/>
          <w:sz w:val="20"/>
          <w:szCs w:val="20"/>
          <w:lang w:val="en-US"/>
        </w:rPr>
        <w:t>, Stephen and others, from Center for Automotive Research at Stanford, Stanford University Graduate School of Business. URL:</w:t>
      </w:r>
      <w:r w:rsidRPr="006B6A5E">
        <w:rPr>
          <w:color w:val="000000" w:themeColor="text1"/>
          <w:sz w:val="20"/>
          <w:szCs w:val="20"/>
        </w:rPr>
        <w:t xml:space="preserve"> </w:t>
      </w:r>
      <w:hyperlink r:id="rId2" w:history="1">
        <w:r w:rsidRPr="006B6A5E">
          <w:rPr>
            <w:rStyle w:val="Hipervnculo"/>
            <w:color w:val="000000" w:themeColor="text1"/>
            <w:sz w:val="20"/>
            <w:szCs w:val="20"/>
            <w:lang w:val="en-US"/>
          </w:rPr>
          <w:t>https://orfe.princeton.edu/~alaink/SmartDrivingCars/PDFs/Zoepf_The%20Economics%20of%20RideHialing_OriginalPdfFeb2018.pdf</w:t>
        </w:r>
      </w:hyperlink>
      <w:r w:rsidRPr="006B6A5E">
        <w:rPr>
          <w:color w:val="000000" w:themeColor="text1"/>
          <w:sz w:val="20"/>
          <w:szCs w:val="20"/>
          <w:lang w:val="en-US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3022"/>
    <w:multiLevelType w:val="hybridMultilevel"/>
    <w:tmpl w:val="703AEBAC"/>
    <w:lvl w:ilvl="0" w:tplc="4C4E9E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428"/>
    <w:multiLevelType w:val="multilevel"/>
    <w:tmpl w:val="FAF8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30E51"/>
    <w:multiLevelType w:val="multilevel"/>
    <w:tmpl w:val="F7CC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A6181"/>
    <w:multiLevelType w:val="hybridMultilevel"/>
    <w:tmpl w:val="FA067E1E"/>
    <w:lvl w:ilvl="0" w:tplc="53F0A8AA">
      <w:start w:val="5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167CE"/>
    <w:multiLevelType w:val="multilevel"/>
    <w:tmpl w:val="433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578AF"/>
    <w:multiLevelType w:val="multilevel"/>
    <w:tmpl w:val="F718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0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99"/>
    <w:rsid w:val="0007424C"/>
    <w:rsid w:val="000E4C3D"/>
    <w:rsid w:val="001C0CC7"/>
    <w:rsid w:val="001C11A4"/>
    <w:rsid w:val="001F6B70"/>
    <w:rsid w:val="0021284E"/>
    <w:rsid w:val="0026345C"/>
    <w:rsid w:val="00266167"/>
    <w:rsid w:val="00274A6B"/>
    <w:rsid w:val="002966BB"/>
    <w:rsid w:val="002B1C95"/>
    <w:rsid w:val="002F42CF"/>
    <w:rsid w:val="003657F1"/>
    <w:rsid w:val="0059676D"/>
    <w:rsid w:val="005A26E8"/>
    <w:rsid w:val="005D31A8"/>
    <w:rsid w:val="00601871"/>
    <w:rsid w:val="006B6A5E"/>
    <w:rsid w:val="006B7569"/>
    <w:rsid w:val="00745C79"/>
    <w:rsid w:val="00765BE3"/>
    <w:rsid w:val="007B5699"/>
    <w:rsid w:val="007C3C6D"/>
    <w:rsid w:val="0080164C"/>
    <w:rsid w:val="0081678D"/>
    <w:rsid w:val="00820CDC"/>
    <w:rsid w:val="008B3D84"/>
    <w:rsid w:val="00942C81"/>
    <w:rsid w:val="00971C3F"/>
    <w:rsid w:val="00A05B69"/>
    <w:rsid w:val="00A20CF6"/>
    <w:rsid w:val="00A44375"/>
    <w:rsid w:val="00AB71D6"/>
    <w:rsid w:val="00B01630"/>
    <w:rsid w:val="00BA6C8E"/>
    <w:rsid w:val="00BC35D2"/>
    <w:rsid w:val="00C10DD4"/>
    <w:rsid w:val="00C96F62"/>
    <w:rsid w:val="00CB46B2"/>
    <w:rsid w:val="00CD0F40"/>
    <w:rsid w:val="00D40F44"/>
    <w:rsid w:val="00D4634C"/>
    <w:rsid w:val="00D83D99"/>
    <w:rsid w:val="00D93CB6"/>
    <w:rsid w:val="00DE0711"/>
    <w:rsid w:val="00E00443"/>
    <w:rsid w:val="00E542CA"/>
    <w:rsid w:val="00EA2A27"/>
    <w:rsid w:val="00EA55F0"/>
    <w:rsid w:val="00E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FF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66BB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2966BB"/>
  </w:style>
  <w:style w:type="character" w:customStyle="1" w:styleId="TextonotapieCar">
    <w:name w:val="Texto nota pie Car"/>
    <w:basedOn w:val="Fuentedeprrafopredeter"/>
    <w:link w:val="Textonotapie"/>
    <w:uiPriority w:val="99"/>
    <w:rsid w:val="002966BB"/>
  </w:style>
  <w:style w:type="character" w:styleId="Refdenotaalpie">
    <w:name w:val="footnote reference"/>
    <w:basedOn w:val="Fuentedeprrafopredeter"/>
    <w:uiPriority w:val="99"/>
    <w:unhideWhenUsed/>
    <w:rsid w:val="002966B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45C79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CB46B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D0F4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D0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C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ckinsey.com/~/media/McKinsey/Featured%20Insights/Employment%20and%20Growth/Independent%20work%20Choice%20necessity%20and%20the%20gig%20economy/Independent-Work-Choice-necessity-and-the-gig-economy-Executive-Summary.ashx" TargetMode="External"/><Relationship Id="rId2" Type="http://schemas.openxmlformats.org/officeDocument/2006/relationships/hyperlink" Target="https://orfe.princeton.edu/~alaink/SmartDrivingCars/PDFs/Zoepf_The%20Economics%20of%20RideHialing_OriginalPdfFeb201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FB60BE-3AD6-9A4A-B880-AE670F87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2019-09-17T21:40:00Z</dcterms:created>
  <dcterms:modified xsi:type="dcterms:W3CDTF">2019-09-17T21:40:00Z</dcterms:modified>
</cp:coreProperties>
</file>