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2"/>
          <w:szCs w:val="22"/>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Stage:</w:t>
      </w:r>
    </w:p>
    <w:p w:rsidR="00000000" w:rsidDel="00000000" w:rsidP="00000000" w:rsidRDefault="00000000" w:rsidRPr="00000000" w14:paraId="00000003">
      <w:pPr>
        <w:jc w:val="both"/>
        <w:rPr>
          <w:sz w:val="22"/>
          <w:szCs w:val="22"/>
        </w:rPr>
      </w:pPr>
      <w:r w:rsidDel="00000000" w:rsidR="00000000" w:rsidRPr="00000000">
        <w:rPr>
          <w:rtl w:val="0"/>
        </w:rPr>
      </w:r>
    </w:p>
    <w:p w:rsidR="00000000" w:rsidDel="00000000" w:rsidP="00000000" w:rsidRDefault="00000000" w:rsidRPr="00000000" w14:paraId="00000004">
      <w:pPr>
        <w:jc w:val="both"/>
        <w:rPr>
          <w:sz w:val="22"/>
          <w:szCs w:val="22"/>
        </w:rPr>
      </w:pPr>
      <w:r w:rsidDel="00000000" w:rsidR="00000000" w:rsidRPr="00000000">
        <w:rPr>
          <w:sz w:val="22"/>
          <w:szCs w:val="22"/>
          <w:rtl w:val="0"/>
        </w:rPr>
        <w:t xml:space="preserve">Technology and platform providers have been challenging the traditional economy and have been generating a new group of workers, known as “Gig Workers” or independent workers. </w:t>
      </w:r>
    </w:p>
    <w:p w:rsidR="00000000" w:rsidDel="00000000" w:rsidP="00000000" w:rsidRDefault="00000000" w:rsidRPr="00000000" w14:paraId="00000005">
      <w:pPr>
        <w:jc w:val="both"/>
        <w:rPr>
          <w:sz w:val="22"/>
          <w:szCs w:val="22"/>
        </w:rPr>
      </w:pPr>
      <w:r w:rsidDel="00000000" w:rsidR="00000000" w:rsidRPr="00000000">
        <w:rPr>
          <w:rtl w:val="0"/>
        </w:rPr>
      </w:r>
    </w:p>
    <w:p w:rsidR="00000000" w:rsidDel="00000000" w:rsidP="00000000" w:rsidRDefault="00000000" w:rsidRPr="00000000" w14:paraId="00000006">
      <w:pPr>
        <w:jc w:val="both"/>
        <w:rPr>
          <w:sz w:val="22"/>
          <w:szCs w:val="22"/>
        </w:rPr>
      </w:pPr>
      <w:r w:rsidDel="00000000" w:rsidR="00000000" w:rsidRPr="00000000">
        <w:rPr>
          <w:color w:val="1f1f1f"/>
          <w:sz w:val="22"/>
          <w:szCs w:val="22"/>
          <w:highlight w:val="white"/>
          <w:rtl w:val="0"/>
        </w:rPr>
        <w:t xml:space="preserve">Some studies indicate that there are between 54 and 68 millions of independent workers in United States which are classified in </w:t>
      </w:r>
      <w:r w:rsidDel="00000000" w:rsidR="00000000" w:rsidRPr="00000000">
        <w:rPr>
          <w:sz w:val="22"/>
          <w:szCs w:val="22"/>
          <w:rtl w:val="0"/>
        </w:rPr>
        <w:t xml:space="preserve">four segments</w:t>
      </w:r>
      <w:r w:rsidDel="00000000" w:rsidR="00000000" w:rsidRPr="00000000">
        <w:rPr>
          <w:sz w:val="22"/>
          <w:szCs w:val="22"/>
          <w:vertAlign w:val="superscript"/>
        </w:rPr>
        <w:footnoteReference w:customMarkFollows="0" w:id="0"/>
      </w:r>
      <w:r w:rsidDel="00000000" w:rsidR="00000000" w:rsidRPr="00000000">
        <w:rPr>
          <w:sz w:val="22"/>
          <w:szCs w:val="22"/>
          <w:rtl w:val="0"/>
        </w:rPr>
        <w:t xml:space="preserve">:</w:t>
      </w:r>
    </w:p>
    <w:p w:rsidR="00000000" w:rsidDel="00000000" w:rsidP="00000000" w:rsidRDefault="00000000" w:rsidRPr="00000000" w14:paraId="00000007">
      <w:pPr>
        <w:jc w:val="both"/>
        <w:rPr>
          <w:sz w:val="22"/>
          <w:szCs w:val="22"/>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agent: main income is from independent work, by choice.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Casual earner: independent work is a complement income, by choice.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Reluctant: their primary profit is from independent work, without choice.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Financially strapped: independent who works for supplemental income, without choice. </w:t>
      </w:r>
    </w:p>
    <w:p w:rsidR="00000000" w:rsidDel="00000000" w:rsidP="00000000" w:rsidRDefault="00000000" w:rsidRPr="00000000" w14:paraId="0000000C">
      <w:pPr>
        <w:jc w:val="both"/>
        <w:rPr>
          <w:sz w:val="22"/>
          <w:szCs w:val="22"/>
        </w:rPr>
      </w:pPr>
      <w:r w:rsidDel="00000000" w:rsidR="00000000" w:rsidRPr="00000000">
        <w:rPr>
          <w:rtl w:val="0"/>
        </w:rPr>
      </w:r>
    </w:p>
    <w:p w:rsidR="00000000" w:rsidDel="00000000" w:rsidP="00000000" w:rsidRDefault="00000000" w:rsidRPr="00000000" w14:paraId="0000000D">
      <w:pPr>
        <w:jc w:val="both"/>
        <w:rPr>
          <w:sz w:val="22"/>
          <w:szCs w:val="22"/>
        </w:rPr>
      </w:pPr>
      <w:r w:rsidDel="00000000" w:rsidR="00000000" w:rsidRPr="00000000">
        <w:rPr>
          <w:sz w:val="22"/>
          <w:szCs w:val="22"/>
          <w:rtl w:val="0"/>
        </w:rPr>
        <w:t xml:space="preserve">A gig worker is a person who provides temporary services for platform providers as an independent contractor for short-terms, on the idea of task-based labor. The usual example are the Uber drivers.</w:t>
      </w:r>
    </w:p>
    <w:p w:rsidR="00000000" w:rsidDel="00000000" w:rsidP="00000000" w:rsidRDefault="00000000" w:rsidRPr="00000000" w14:paraId="0000000E">
      <w:pPr>
        <w:jc w:val="both"/>
        <w:rPr>
          <w:sz w:val="22"/>
          <w:szCs w:val="22"/>
        </w:rPr>
      </w:pPr>
      <w:r w:rsidDel="00000000" w:rsidR="00000000" w:rsidRPr="00000000">
        <w:rPr>
          <w:rtl w:val="0"/>
        </w:rPr>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Some proclaim that the possibility to work with more freedom allows gig workers to have more options, but others indicate that actually this new reality leaves workers with less options and also with more risks than any other independent contractor.</w:t>
      </w:r>
    </w:p>
    <w:p w:rsidR="00000000" w:rsidDel="00000000" w:rsidP="00000000" w:rsidRDefault="00000000" w:rsidRPr="00000000" w14:paraId="00000010">
      <w:pPr>
        <w:jc w:val="both"/>
        <w:rPr>
          <w:sz w:val="22"/>
          <w:szCs w:val="22"/>
        </w:rPr>
      </w:pPr>
      <w:r w:rsidDel="00000000" w:rsidR="00000000" w:rsidRPr="00000000">
        <w:rPr>
          <w:rtl w:val="0"/>
        </w:rPr>
      </w:r>
    </w:p>
    <w:p w:rsidR="00000000" w:rsidDel="00000000" w:rsidP="00000000" w:rsidRDefault="00000000" w:rsidRPr="00000000" w14:paraId="00000011">
      <w:pPr>
        <w:jc w:val="both"/>
        <w:rPr>
          <w:i w:val="1"/>
          <w:color w:val="1f1f1f"/>
          <w:sz w:val="22"/>
          <w:szCs w:val="22"/>
          <w:highlight w:val="white"/>
        </w:rPr>
      </w:pPr>
      <w:r w:rsidDel="00000000" w:rsidR="00000000" w:rsidRPr="00000000">
        <w:rPr>
          <w:sz w:val="22"/>
          <w:szCs w:val="22"/>
          <w:rtl w:val="0"/>
        </w:rPr>
        <w:t xml:space="preserve">In this line, it is said that “</w:t>
      </w:r>
      <w:r w:rsidDel="00000000" w:rsidR="00000000" w:rsidRPr="00000000">
        <w:rPr>
          <w:i w:val="1"/>
          <w:color w:val="1f1f1f"/>
          <w:sz w:val="22"/>
          <w:szCs w:val="22"/>
          <w:highlight w:val="white"/>
          <w:rtl w:val="0"/>
        </w:rPr>
        <w:t xml:space="preserve">Gig workers are increasingly taking risks related not only to their labor but also to their own capital. This occurs when continued ownership of the assets used in work are dependent on a set of circumstances outside the control of the worker”</w:t>
      </w:r>
      <w:r w:rsidDel="00000000" w:rsidR="00000000" w:rsidRPr="00000000">
        <w:rPr>
          <w:i w:val="1"/>
          <w:color w:val="1f1f1f"/>
          <w:sz w:val="22"/>
          <w:szCs w:val="22"/>
          <w:highlight w:val="white"/>
          <w:vertAlign w:val="superscript"/>
        </w:rPr>
        <w:footnoteReference w:customMarkFollows="0" w:id="1"/>
      </w:r>
      <w:r w:rsidDel="00000000" w:rsidR="00000000" w:rsidRPr="00000000">
        <w:rPr>
          <w:i w:val="1"/>
          <w:color w:val="1f1f1f"/>
          <w:sz w:val="22"/>
          <w:szCs w:val="22"/>
          <w:highlight w:val="white"/>
          <w:rtl w:val="0"/>
        </w:rPr>
        <w:t xml:space="preserve">. </w:t>
      </w:r>
    </w:p>
    <w:p w:rsidR="00000000" w:rsidDel="00000000" w:rsidP="00000000" w:rsidRDefault="00000000" w:rsidRPr="00000000" w14:paraId="00000012">
      <w:pPr>
        <w:jc w:val="both"/>
        <w:rPr>
          <w:color w:val="1f1f1f"/>
          <w:sz w:val="22"/>
          <w:szCs w:val="22"/>
          <w:highlight w:val="white"/>
        </w:rPr>
      </w:pPr>
      <w:r w:rsidDel="00000000" w:rsidR="00000000" w:rsidRPr="00000000">
        <w:rPr>
          <w:rtl w:val="0"/>
        </w:rPr>
      </w:r>
    </w:p>
    <w:p w:rsidR="00000000" w:rsidDel="00000000" w:rsidP="00000000" w:rsidRDefault="00000000" w:rsidRPr="00000000" w14:paraId="00000013">
      <w:pPr>
        <w:jc w:val="both"/>
        <w:rPr>
          <w:b w:val="1"/>
          <w:color w:val="1f1f1f"/>
          <w:highlight w:val="white"/>
        </w:rPr>
      </w:pPr>
      <w:r w:rsidDel="00000000" w:rsidR="00000000" w:rsidRPr="00000000">
        <w:rPr>
          <w:b w:val="1"/>
          <w:color w:val="1f1f1f"/>
          <w:highlight w:val="white"/>
          <w:rtl w:val="0"/>
        </w:rPr>
        <w:t xml:space="preserve">Metrics:</w:t>
      </w:r>
    </w:p>
    <w:p w:rsidR="00000000" w:rsidDel="00000000" w:rsidP="00000000" w:rsidRDefault="00000000" w:rsidRPr="00000000" w14:paraId="00000014">
      <w:pPr>
        <w:jc w:val="both"/>
        <w:rPr>
          <w:color w:val="1f1f1f"/>
          <w:sz w:val="22"/>
          <w:szCs w:val="22"/>
          <w:highlight w:val="white"/>
        </w:rPr>
      </w:pPr>
      <w:r w:rsidDel="00000000" w:rsidR="00000000" w:rsidRPr="00000000">
        <w:rPr>
          <w:color w:val="1f1f1f"/>
          <w:sz w:val="22"/>
          <w:szCs w:val="22"/>
          <w:highlight w:val="white"/>
          <w:rtl w:val="0"/>
        </w:rPr>
        <w:t xml:space="preserve"> </w:t>
      </w:r>
    </w:p>
    <w:tbl>
      <w:tblPr>
        <w:tblStyle w:val="Table1"/>
        <w:tblW w:w="84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3"/>
        <w:gridCol w:w="5185"/>
        <w:tblGridChange w:id="0">
          <w:tblGrid>
            <w:gridCol w:w="3303"/>
            <w:gridCol w:w="5185"/>
          </w:tblGrid>
        </w:tblGridChange>
      </w:tblGrid>
      <w:tr>
        <w:tc>
          <w:tcPr/>
          <w:p w:rsidR="00000000" w:rsidDel="00000000" w:rsidP="00000000" w:rsidRDefault="00000000" w:rsidRPr="00000000" w14:paraId="00000015">
            <w:pPr>
              <w:jc w:val="center"/>
              <w:rPr>
                <w:b w:val="1"/>
                <w:i w:val="1"/>
                <w:color w:val="1f1f1f"/>
                <w:highlight w:val="white"/>
              </w:rPr>
            </w:pPr>
            <w:r w:rsidDel="00000000" w:rsidR="00000000" w:rsidRPr="00000000">
              <w:rPr>
                <w:b w:val="1"/>
                <w:i w:val="1"/>
                <w:color w:val="1f1f1f"/>
                <w:highlight w:val="white"/>
                <w:rtl w:val="0"/>
              </w:rPr>
              <w:t xml:space="preserve">Concept</w:t>
            </w:r>
          </w:p>
        </w:tc>
        <w:tc>
          <w:tcPr/>
          <w:p w:rsidR="00000000" w:rsidDel="00000000" w:rsidP="00000000" w:rsidRDefault="00000000" w:rsidRPr="00000000" w14:paraId="00000016">
            <w:pPr>
              <w:jc w:val="center"/>
              <w:rPr>
                <w:b w:val="1"/>
                <w:i w:val="1"/>
                <w:color w:val="1f1f1f"/>
                <w:highlight w:val="white"/>
              </w:rPr>
            </w:pPr>
            <w:r w:rsidDel="00000000" w:rsidR="00000000" w:rsidRPr="00000000">
              <w:rPr>
                <w:b w:val="1"/>
                <w:i w:val="1"/>
                <w:color w:val="1f1f1f"/>
                <w:highlight w:val="white"/>
                <w:rtl w:val="0"/>
              </w:rPr>
              <w:t xml:space="preserve">Approx. Quantities</w:t>
            </w:r>
          </w:p>
        </w:tc>
      </w:tr>
      <w:tr>
        <w:tc>
          <w:tcPr/>
          <w:p w:rsidR="00000000" w:rsidDel="00000000" w:rsidP="00000000" w:rsidRDefault="00000000" w:rsidRPr="00000000" w14:paraId="00000017">
            <w:pPr>
              <w:jc w:val="both"/>
              <w:rPr>
                <w:color w:val="1f1f1f"/>
                <w:sz w:val="22"/>
                <w:szCs w:val="22"/>
                <w:highlight w:val="white"/>
              </w:rPr>
            </w:pPr>
            <w:r w:rsidDel="00000000" w:rsidR="00000000" w:rsidRPr="00000000">
              <w:rPr>
                <w:color w:val="1f1f1f"/>
                <w:sz w:val="22"/>
                <w:szCs w:val="22"/>
                <w:highlight w:val="white"/>
                <w:rtl w:val="0"/>
              </w:rPr>
              <w:t xml:space="preserve">Amount of gig workers (2017)</w:t>
            </w:r>
          </w:p>
        </w:tc>
        <w:tc>
          <w:tcPr/>
          <w:p w:rsidR="00000000" w:rsidDel="00000000" w:rsidP="00000000" w:rsidRDefault="00000000" w:rsidRPr="00000000" w14:paraId="00000018">
            <w:pPr>
              <w:jc w:val="both"/>
              <w:rPr>
                <w:color w:val="1f1f1f"/>
                <w:sz w:val="22"/>
                <w:szCs w:val="22"/>
                <w:highlight w:val="white"/>
              </w:rPr>
            </w:pPr>
            <w:r w:rsidDel="00000000" w:rsidR="00000000" w:rsidRPr="00000000">
              <w:rPr>
                <w:color w:val="1f1f1f"/>
                <w:sz w:val="22"/>
                <w:szCs w:val="22"/>
                <w:highlight w:val="white"/>
                <w:rtl w:val="0"/>
              </w:rPr>
              <w:t xml:space="preserve">55 mill. </w:t>
            </w:r>
          </w:p>
        </w:tc>
      </w:tr>
      <w:tr>
        <w:tc>
          <w:tcPr/>
          <w:p w:rsidR="00000000" w:rsidDel="00000000" w:rsidP="00000000" w:rsidRDefault="00000000" w:rsidRPr="00000000" w14:paraId="00000019">
            <w:pPr>
              <w:jc w:val="both"/>
              <w:rPr>
                <w:color w:val="1f1f1f"/>
                <w:sz w:val="22"/>
                <w:szCs w:val="22"/>
                <w:highlight w:val="white"/>
              </w:rPr>
            </w:pPr>
            <w:r w:rsidDel="00000000" w:rsidR="00000000" w:rsidRPr="00000000">
              <w:rPr>
                <w:color w:val="1f1f1f"/>
                <w:sz w:val="22"/>
                <w:szCs w:val="22"/>
                <w:highlight w:val="white"/>
                <w:rtl w:val="0"/>
              </w:rPr>
              <w:t xml:space="preserve">How many gig workers are in any capacity (primary or supplementary work)?</w:t>
            </w:r>
          </w:p>
        </w:tc>
        <w:tc>
          <w:tcPr/>
          <w:p w:rsidR="00000000" w:rsidDel="00000000" w:rsidP="00000000" w:rsidRDefault="00000000" w:rsidRPr="00000000" w14:paraId="0000001A">
            <w:pPr>
              <w:jc w:val="both"/>
              <w:rPr>
                <w:color w:val="1f1f1f"/>
                <w:sz w:val="22"/>
                <w:szCs w:val="22"/>
                <w:highlight w:val="white"/>
              </w:rPr>
            </w:pPr>
            <w:r w:rsidDel="00000000" w:rsidR="00000000" w:rsidRPr="00000000">
              <w:rPr>
                <w:color w:val="1f1f1f"/>
                <w:sz w:val="22"/>
                <w:szCs w:val="22"/>
                <w:highlight w:val="white"/>
                <w:rtl w:val="0"/>
              </w:rPr>
              <w:t xml:space="preserve">Over 1 in 4</w:t>
            </w:r>
            <w:r w:rsidDel="00000000" w:rsidR="00000000" w:rsidRPr="00000000">
              <w:rPr>
                <w:color w:val="1f1f1f"/>
                <w:sz w:val="22"/>
                <w:szCs w:val="22"/>
                <w:highlight w:val="white"/>
                <w:vertAlign w:val="superscript"/>
              </w:rPr>
              <w:footnoteReference w:customMarkFollows="0" w:id="2"/>
            </w:r>
            <w:r w:rsidDel="00000000" w:rsidR="00000000" w:rsidRPr="00000000">
              <w:rPr>
                <w:rtl w:val="0"/>
              </w:rPr>
            </w:r>
          </w:p>
        </w:tc>
      </w:tr>
      <w:tr>
        <w:tc>
          <w:tcPr/>
          <w:p w:rsidR="00000000" w:rsidDel="00000000" w:rsidP="00000000" w:rsidRDefault="00000000" w:rsidRPr="00000000" w14:paraId="0000001B">
            <w:pPr>
              <w:jc w:val="both"/>
              <w:rPr>
                <w:color w:val="1f1f1f"/>
                <w:sz w:val="22"/>
                <w:szCs w:val="22"/>
                <w:highlight w:val="white"/>
              </w:rPr>
            </w:pPr>
            <w:r w:rsidDel="00000000" w:rsidR="00000000" w:rsidRPr="00000000">
              <w:rPr>
                <w:color w:val="1f1f1f"/>
                <w:sz w:val="22"/>
                <w:szCs w:val="22"/>
                <w:highlight w:val="white"/>
                <w:rtl w:val="0"/>
              </w:rPr>
              <w:t xml:space="preserve">How many are gig workers as a main job (independent work is primary)?</w:t>
            </w:r>
          </w:p>
        </w:tc>
        <w:tc>
          <w:tcPr/>
          <w:p w:rsidR="00000000" w:rsidDel="00000000" w:rsidP="00000000" w:rsidRDefault="00000000" w:rsidRPr="00000000" w14:paraId="0000001C">
            <w:pPr>
              <w:jc w:val="both"/>
              <w:rPr>
                <w:color w:val="1f1f1f"/>
                <w:sz w:val="22"/>
                <w:szCs w:val="22"/>
                <w:highlight w:val="white"/>
              </w:rPr>
            </w:pPr>
            <w:r w:rsidDel="00000000" w:rsidR="00000000" w:rsidRPr="00000000">
              <w:rPr>
                <w:color w:val="1f1f1f"/>
                <w:sz w:val="22"/>
                <w:szCs w:val="22"/>
                <w:highlight w:val="white"/>
                <w:rtl w:val="0"/>
              </w:rPr>
              <w:t xml:space="preserve">Around 1 in 10</w:t>
            </w:r>
            <w:r w:rsidDel="00000000" w:rsidR="00000000" w:rsidRPr="00000000">
              <w:rPr>
                <w:color w:val="1f1f1f"/>
                <w:sz w:val="22"/>
                <w:szCs w:val="22"/>
                <w:highlight w:val="white"/>
                <w:vertAlign w:val="superscript"/>
              </w:rPr>
              <w:footnoteReference w:customMarkFollows="0" w:id="3"/>
            </w:r>
            <w:r w:rsidDel="00000000" w:rsidR="00000000" w:rsidRPr="00000000">
              <w:rPr>
                <w:rtl w:val="0"/>
              </w:rPr>
            </w:r>
          </w:p>
        </w:tc>
      </w:tr>
      <w:tr>
        <w:tc>
          <w:tcPr/>
          <w:p w:rsidR="00000000" w:rsidDel="00000000" w:rsidP="00000000" w:rsidRDefault="00000000" w:rsidRPr="00000000" w14:paraId="0000001D">
            <w:pPr>
              <w:jc w:val="both"/>
              <w:rPr>
                <w:color w:val="1f1f1f"/>
                <w:sz w:val="22"/>
                <w:szCs w:val="22"/>
                <w:highlight w:val="white"/>
              </w:rPr>
            </w:pPr>
            <w:r w:rsidDel="00000000" w:rsidR="00000000" w:rsidRPr="00000000">
              <w:rPr>
                <w:color w:val="1f1f1f"/>
                <w:sz w:val="22"/>
                <w:szCs w:val="22"/>
                <w:highlight w:val="white"/>
                <w:rtl w:val="0"/>
              </w:rPr>
              <w:t xml:space="preserve">How many gig workers work in online platforms (Uber, Lyft and others)?</w:t>
            </w:r>
          </w:p>
        </w:tc>
        <w:tc>
          <w:tcPr/>
          <w:p w:rsidR="00000000" w:rsidDel="00000000" w:rsidP="00000000" w:rsidRDefault="00000000" w:rsidRPr="00000000" w14:paraId="0000001E">
            <w:pPr>
              <w:jc w:val="both"/>
              <w:rPr>
                <w:color w:val="1f1f1f"/>
                <w:sz w:val="22"/>
                <w:szCs w:val="22"/>
                <w:highlight w:val="white"/>
              </w:rPr>
            </w:pPr>
            <w:r w:rsidDel="00000000" w:rsidR="00000000" w:rsidRPr="00000000">
              <w:rPr>
                <w:color w:val="1f1f1f"/>
                <w:sz w:val="22"/>
                <w:szCs w:val="22"/>
                <w:highlight w:val="white"/>
                <w:rtl w:val="0"/>
              </w:rPr>
              <w:t xml:space="preserve">Fewer than 1 percent</w:t>
            </w:r>
            <w:r w:rsidDel="00000000" w:rsidR="00000000" w:rsidRPr="00000000">
              <w:rPr>
                <w:color w:val="1f1f1f"/>
                <w:sz w:val="22"/>
                <w:szCs w:val="22"/>
                <w:highlight w:val="white"/>
                <w:vertAlign w:val="superscript"/>
              </w:rPr>
              <w:footnoteReference w:customMarkFollows="0" w:id="4"/>
            </w:r>
            <w:r w:rsidDel="00000000" w:rsidR="00000000" w:rsidRPr="00000000">
              <w:rPr>
                <w:rtl w:val="0"/>
              </w:rPr>
            </w:r>
          </w:p>
        </w:tc>
      </w:tr>
      <w:tr>
        <w:tc>
          <w:tcPr/>
          <w:p w:rsidR="00000000" w:rsidDel="00000000" w:rsidP="00000000" w:rsidRDefault="00000000" w:rsidRPr="00000000" w14:paraId="0000001F">
            <w:pPr>
              <w:jc w:val="both"/>
              <w:rPr>
                <w:color w:val="1f1f1f"/>
                <w:sz w:val="22"/>
                <w:szCs w:val="22"/>
                <w:highlight w:val="white"/>
              </w:rPr>
            </w:pPr>
            <w:r w:rsidDel="00000000" w:rsidR="00000000" w:rsidRPr="00000000">
              <w:rPr>
                <w:color w:val="1f1f1f"/>
                <w:sz w:val="22"/>
                <w:szCs w:val="22"/>
                <w:highlight w:val="white"/>
                <w:rtl w:val="0"/>
              </w:rPr>
              <w:t xml:space="preserve">Workforce engaged in independent work arrangements</w:t>
            </w:r>
          </w:p>
        </w:tc>
        <w:tc>
          <w:tcPr/>
          <w:p w:rsidR="00000000" w:rsidDel="00000000" w:rsidP="00000000" w:rsidRDefault="00000000" w:rsidRPr="00000000" w14:paraId="00000020">
            <w:pPr>
              <w:jc w:val="both"/>
              <w:rPr>
                <w:color w:val="1f1f1f"/>
                <w:sz w:val="22"/>
                <w:szCs w:val="22"/>
                <w:highlight w:val="white"/>
              </w:rPr>
            </w:pPr>
            <w:r w:rsidDel="00000000" w:rsidR="00000000" w:rsidRPr="00000000">
              <w:rPr>
                <w:color w:val="1f1f1f"/>
                <w:sz w:val="22"/>
                <w:szCs w:val="22"/>
                <w:highlight w:val="white"/>
                <w:rtl w:val="0"/>
              </w:rPr>
              <w:t xml:space="preserve">26.9 %</w:t>
            </w:r>
            <w:r w:rsidDel="00000000" w:rsidR="00000000" w:rsidRPr="00000000">
              <w:rPr>
                <w:color w:val="1f1f1f"/>
                <w:sz w:val="22"/>
                <w:szCs w:val="22"/>
                <w:highlight w:val="white"/>
                <w:vertAlign w:val="superscript"/>
              </w:rPr>
              <w:footnoteReference w:customMarkFollows="0" w:id="5"/>
            </w:r>
            <w:r w:rsidDel="00000000" w:rsidR="00000000" w:rsidRPr="00000000">
              <w:rPr>
                <w:rtl w:val="0"/>
              </w:rPr>
            </w:r>
          </w:p>
        </w:tc>
      </w:tr>
      <w:tr>
        <w:tc>
          <w:tcPr/>
          <w:p w:rsidR="00000000" w:rsidDel="00000000" w:rsidP="00000000" w:rsidRDefault="00000000" w:rsidRPr="00000000" w14:paraId="00000021">
            <w:pPr>
              <w:jc w:val="both"/>
              <w:rPr>
                <w:color w:val="1f1f1f"/>
                <w:sz w:val="22"/>
                <w:szCs w:val="22"/>
                <w:highlight w:val="white"/>
              </w:rPr>
            </w:pPr>
            <w:r w:rsidDel="00000000" w:rsidR="00000000" w:rsidRPr="00000000">
              <w:rPr>
                <w:color w:val="1f1f1f"/>
                <w:sz w:val="22"/>
                <w:szCs w:val="22"/>
                <w:highlight w:val="white"/>
                <w:rtl w:val="0"/>
              </w:rPr>
              <w:t xml:space="preserve">Expected (2020)</w:t>
            </w:r>
          </w:p>
        </w:tc>
        <w:tc>
          <w:tcPr/>
          <w:p w:rsidR="00000000" w:rsidDel="00000000" w:rsidP="00000000" w:rsidRDefault="00000000" w:rsidRPr="00000000" w14:paraId="00000022">
            <w:pPr>
              <w:jc w:val="both"/>
              <w:rPr>
                <w:color w:val="1f1f1f"/>
                <w:sz w:val="22"/>
                <w:szCs w:val="22"/>
                <w:highlight w:val="white"/>
              </w:rPr>
            </w:pPr>
            <w:r w:rsidDel="00000000" w:rsidR="00000000" w:rsidRPr="00000000">
              <w:rPr>
                <w:color w:val="1f1f1f"/>
                <w:sz w:val="22"/>
                <w:szCs w:val="22"/>
                <w:highlight w:val="white"/>
                <w:rtl w:val="0"/>
              </w:rPr>
              <w:t xml:space="preserve">43% of workforce </w:t>
            </w:r>
          </w:p>
        </w:tc>
      </w:tr>
      <w:tr>
        <w:tc>
          <w:tcPr/>
          <w:p w:rsidR="00000000" w:rsidDel="00000000" w:rsidP="00000000" w:rsidRDefault="00000000" w:rsidRPr="00000000" w14:paraId="00000023">
            <w:pPr>
              <w:jc w:val="both"/>
              <w:rPr>
                <w:color w:val="1f1f1f"/>
                <w:sz w:val="22"/>
                <w:szCs w:val="22"/>
                <w:highlight w:val="white"/>
              </w:rPr>
            </w:pPr>
            <w:r w:rsidDel="00000000" w:rsidR="00000000" w:rsidRPr="00000000">
              <w:rPr>
                <w:color w:val="1f1f1f"/>
                <w:sz w:val="22"/>
                <w:szCs w:val="22"/>
                <w:highlight w:val="white"/>
                <w:rtl w:val="0"/>
              </w:rPr>
              <w:t xml:space="preserve">Wage growth</w:t>
            </w:r>
          </w:p>
        </w:tc>
        <w:tc>
          <w:tcPr/>
          <w:p w:rsidR="00000000" w:rsidDel="00000000" w:rsidP="00000000" w:rsidRDefault="00000000" w:rsidRPr="00000000" w14:paraId="00000024">
            <w:pPr>
              <w:jc w:val="both"/>
              <w:rPr>
                <w:color w:val="1f1f1f"/>
                <w:sz w:val="22"/>
                <w:szCs w:val="22"/>
                <w:highlight w:val="white"/>
              </w:rPr>
            </w:pPr>
            <w:r w:rsidDel="00000000" w:rsidR="00000000" w:rsidRPr="00000000">
              <w:rPr>
                <w:color w:val="1f1f1f"/>
                <w:sz w:val="22"/>
                <w:szCs w:val="22"/>
                <w:highlight w:val="white"/>
                <w:rtl w:val="0"/>
              </w:rPr>
              <w:t xml:space="preserve">Falls annually 0.5 – 1%</w:t>
            </w:r>
            <w:r w:rsidDel="00000000" w:rsidR="00000000" w:rsidRPr="00000000">
              <w:rPr>
                <w:color w:val="1f1f1f"/>
                <w:sz w:val="22"/>
                <w:szCs w:val="22"/>
                <w:highlight w:val="white"/>
                <w:vertAlign w:val="superscript"/>
              </w:rPr>
              <w:footnoteReference w:customMarkFollows="0" w:id="6"/>
            </w:r>
            <w:r w:rsidDel="00000000" w:rsidR="00000000" w:rsidRPr="00000000">
              <w:rPr>
                <w:rtl w:val="0"/>
              </w:rPr>
            </w:r>
          </w:p>
        </w:tc>
      </w:tr>
      <w:tr>
        <w:tc>
          <w:tcPr/>
          <w:p w:rsidR="00000000" w:rsidDel="00000000" w:rsidP="00000000" w:rsidRDefault="00000000" w:rsidRPr="00000000" w14:paraId="00000025">
            <w:pPr>
              <w:jc w:val="both"/>
              <w:rPr>
                <w:color w:val="1f1f1f"/>
                <w:sz w:val="22"/>
                <w:szCs w:val="22"/>
                <w:highlight w:val="white"/>
              </w:rPr>
            </w:pPr>
            <w:r w:rsidDel="00000000" w:rsidR="00000000" w:rsidRPr="00000000">
              <w:rPr>
                <w:color w:val="1f1f1f"/>
                <w:sz w:val="22"/>
                <w:szCs w:val="22"/>
                <w:highlight w:val="white"/>
                <w:rtl w:val="0"/>
              </w:rPr>
              <w:t xml:space="preserve">Profit </w:t>
            </w:r>
          </w:p>
        </w:tc>
        <w:tc>
          <w:tcPr/>
          <w:p w:rsidR="00000000" w:rsidDel="00000000" w:rsidP="00000000" w:rsidRDefault="00000000" w:rsidRPr="00000000" w14:paraId="00000026">
            <w:pPr>
              <w:jc w:val="both"/>
              <w:rPr>
                <w:color w:val="1f1f1f"/>
                <w:sz w:val="22"/>
                <w:szCs w:val="22"/>
                <w:highlight w:val="white"/>
              </w:rPr>
            </w:pPr>
            <w:r w:rsidDel="00000000" w:rsidR="00000000" w:rsidRPr="00000000">
              <w:rPr>
                <w:color w:val="1f1f1f"/>
                <w:sz w:val="22"/>
                <w:szCs w:val="22"/>
                <w:highlight w:val="white"/>
                <w:rtl w:val="0"/>
              </w:rPr>
              <w:t xml:space="preserve">FT earn more than $ 100.000 (nearly 20%)</w:t>
            </w:r>
            <w:r w:rsidDel="00000000" w:rsidR="00000000" w:rsidRPr="00000000">
              <w:rPr>
                <w:color w:val="1f1f1f"/>
                <w:sz w:val="22"/>
                <w:szCs w:val="22"/>
                <w:highlight w:val="white"/>
                <w:vertAlign w:val="superscript"/>
              </w:rPr>
              <w:footnoteReference w:customMarkFollows="0" w:id="7"/>
            </w:r>
            <w:r w:rsidDel="00000000" w:rsidR="00000000" w:rsidRPr="00000000">
              <w:rPr>
                <w:rtl w:val="0"/>
              </w:rPr>
            </w:r>
          </w:p>
        </w:tc>
      </w:tr>
      <w:tr>
        <w:tc>
          <w:tcPr/>
          <w:p w:rsidR="00000000" w:rsidDel="00000000" w:rsidP="00000000" w:rsidRDefault="00000000" w:rsidRPr="00000000" w14:paraId="00000027">
            <w:pPr>
              <w:jc w:val="both"/>
              <w:rPr>
                <w:color w:val="1f1f1f"/>
                <w:sz w:val="22"/>
                <w:szCs w:val="22"/>
                <w:highlight w:val="white"/>
              </w:rPr>
            </w:pPr>
            <w:r w:rsidDel="00000000" w:rsidR="00000000" w:rsidRPr="00000000">
              <w:rPr>
                <w:color w:val="1f1f1f"/>
                <w:sz w:val="22"/>
                <w:szCs w:val="22"/>
                <w:highlight w:val="white"/>
                <w:rtl w:val="0"/>
              </w:rPr>
              <w:t xml:space="preserve">Opportunity to choose</w:t>
            </w:r>
          </w:p>
        </w:tc>
        <w:tc>
          <w:tcPr/>
          <w:p w:rsidR="00000000" w:rsidDel="00000000" w:rsidP="00000000" w:rsidRDefault="00000000" w:rsidRPr="00000000" w14:paraId="00000028">
            <w:pPr>
              <w:jc w:val="both"/>
              <w:rPr>
                <w:color w:val="1f1f1f"/>
                <w:sz w:val="22"/>
                <w:szCs w:val="22"/>
                <w:highlight w:val="white"/>
              </w:rPr>
            </w:pPr>
            <w:r w:rsidDel="00000000" w:rsidR="00000000" w:rsidRPr="00000000">
              <w:rPr>
                <w:color w:val="1f1f1f"/>
                <w:sz w:val="22"/>
                <w:szCs w:val="22"/>
                <w:highlight w:val="white"/>
                <w:rtl w:val="0"/>
              </w:rPr>
              <w:t xml:space="preserve">63% would choose to be freelance</w:t>
            </w:r>
            <w:r w:rsidDel="00000000" w:rsidR="00000000" w:rsidRPr="00000000">
              <w:rPr>
                <w:color w:val="1f1f1f"/>
                <w:sz w:val="22"/>
                <w:szCs w:val="22"/>
                <w:highlight w:val="white"/>
                <w:vertAlign w:val="superscript"/>
              </w:rPr>
              <w:footnoteReference w:customMarkFollows="0" w:id="8"/>
            </w:r>
            <w:r w:rsidDel="00000000" w:rsidR="00000000" w:rsidRPr="00000000">
              <w:rPr>
                <w:rtl w:val="0"/>
              </w:rPr>
            </w:r>
          </w:p>
          <w:p w:rsidR="00000000" w:rsidDel="00000000" w:rsidP="00000000" w:rsidRDefault="00000000" w:rsidRPr="00000000" w14:paraId="00000029">
            <w:pPr>
              <w:jc w:val="both"/>
              <w:rPr>
                <w:color w:val="1f1f1f"/>
                <w:sz w:val="22"/>
                <w:szCs w:val="22"/>
                <w:highlight w:val="white"/>
              </w:rPr>
            </w:pPr>
            <w:r w:rsidDel="00000000" w:rsidR="00000000" w:rsidRPr="00000000">
              <w:rPr>
                <w:color w:val="1f1f1f"/>
                <w:sz w:val="22"/>
                <w:szCs w:val="22"/>
                <w:highlight w:val="white"/>
                <w:rtl w:val="0"/>
              </w:rPr>
              <w:t xml:space="preserve">74% would quit if they can work remotely more often</w:t>
            </w:r>
          </w:p>
        </w:tc>
      </w:tr>
      <w:tr>
        <w:tc>
          <w:tcPr/>
          <w:p w:rsidR="00000000" w:rsidDel="00000000" w:rsidP="00000000" w:rsidRDefault="00000000" w:rsidRPr="00000000" w14:paraId="0000002A">
            <w:pPr>
              <w:jc w:val="both"/>
              <w:rPr>
                <w:color w:val="1f1f1f"/>
                <w:sz w:val="22"/>
                <w:szCs w:val="22"/>
                <w:highlight w:val="white"/>
              </w:rPr>
            </w:pPr>
            <w:r w:rsidDel="00000000" w:rsidR="00000000" w:rsidRPr="00000000">
              <w:rPr>
                <w:color w:val="1f1f1f"/>
                <w:sz w:val="22"/>
                <w:szCs w:val="22"/>
                <w:highlight w:val="white"/>
                <w:rtl w:val="0"/>
              </w:rPr>
              <w:t xml:space="preserve">Millennials </w:t>
            </w:r>
          </w:p>
        </w:tc>
        <w:tc>
          <w:tcPr/>
          <w:p w:rsidR="00000000" w:rsidDel="00000000" w:rsidP="00000000" w:rsidRDefault="00000000" w:rsidRPr="00000000" w14:paraId="0000002B">
            <w:pPr>
              <w:jc w:val="both"/>
              <w:rPr>
                <w:color w:val="1f1f1f"/>
                <w:sz w:val="22"/>
                <w:szCs w:val="22"/>
                <w:highlight w:val="white"/>
              </w:rPr>
            </w:pPr>
            <w:r w:rsidDel="00000000" w:rsidR="00000000" w:rsidRPr="00000000">
              <w:rPr>
                <w:color w:val="1f1f1f"/>
                <w:sz w:val="22"/>
                <w:szCs w:val="22"/>
                <w:highlight w:val="white"/>
                <w:rtl w:val="0"/>
              </w:rPr>
              <w:t xml:space="preserve">69% regret their job and preferred balance work/life</w:t>
            </w:r>
          </w:p>
        </w:tc>
      </w:tr>
      <w:tr>
        <w:trPr>
          <w:trHeight w:val="180" w:hRule="atLeast"/>
        </w:trPr>
        <w:tc>
          <w:tcPr/>
          <w:p w:rsidR="00000000" w:rsidDel="00000000" w:rsidP="00000000" w:rsidRDefault="00000000" w:rsidRPr="00000000" w14:paraId="0000002C">
            <w:pPr>
              <w:jc w:val="both"/>
              <w:rPr>
                <w:color w:val="1f1f1f"/>
                <w:sz w:val="22"/>
                <w:szCs w:val="22"/>
                <w:highlight w:val="white"/>
              </w:rPr>
            </w:pPr>
            <w:r w:rsidDel="00000000" w:rsidR="00000000" w:rsidRPr="00000000">
              <w:rPr>
                <w:color w:val="1f1f1f"/>
                <w:sz w:val="22"/>
                <w:szCs w:val="22"/>
                <w:highlight w:val="white"/>
                <w:rtl w:val="0"/>
              </w:rPr>
              <w:t xml:space="preserve">Compatibility between traditional jobs and remote work </w:t>
            </w:r>
          </w:p>
        </w:tc>
        <w:tc>
          <w:tcPr/>
          <w:p w:rsidR="00000000" w:rsidDel="00000000" w:rsidP="00000000" w:rsidRDefault="00000000" w:rsidRPr="00000000" w14:paraId="0000002D">
            <w:pPr>
              <w:jc w:val="both"/>
              <w:rPr>
                <w:color w:val="1f1f1f"/>
                <w:sz w:val="22"/>
                <w:szCs w:val="22"/>
                <w:highlight w:val="white"/>
              </w:rPr>
            </w:pPr>
            <w:r w:rsidDel="00000000" w:rsidR="00000000" w:rsidRPr="00000000">
              <w:rPr>
                <w:color w:val="1f1f1f"/>
                <w:sz w:val="22"/>
                <w:szCs w:val="22"/>
                <w:highlight w:val="white"/>
                <w:rtl w:val="0"/>
              </w:rPr>
              <w:t xml:space="preserve">50% of the jobs are compatible</w:t>
            </w:r>
            <w:r w:rsidDel="00000000" w:rsidR="00000000" w:rsidRPr="00000000">
              <w:rPr>
                <w:color w:val="1f1f1f"/>
                <w:sz w:val="22"/>
                <w:szCs w:val="22"/>
                <w:highlight w:val="white"/>
                <w:vertAlign w:val="superscript"/>
              </w:rPr>
              <w:footnoteReference w:customMarkFollows="0" w:id="9"/>
            </w:r>
            <w:r w:rsidDel="00000000" w:rsidR="00000000" w:rsidRPr="00000000">
              <w:rPr>
                <w:rtl w:val="0"/>
              </w:rPr>
            </w:r>
          </w:p>
        </w:tc>
      </w:tr>
      <w:tr>
        <w:trPr>
          <w:trHeight w:val="180" w:hRule="atLeast"/>
        </w:trPr>
        <w:tc>
          <w:tcPr/>
          <w:p w:rsidR="00000000" w:rsidDel="00000000" w:rsidP="00000000" w:rsidRDefault="00000000" w:rsidRPr="00000000" w14:paraId="0000002E">
            <w:pPr>
              <w:jc w:val="both"/>
              <w:rPr>
                <w:color w:val="1f1f1f"/>
                <w:sz w:val="22"/>
                <w:szCs w:val="22"/>
                <w:highlight w:val="white"/>
              </w:rPr>
            </w:pPr>
            <w:r w:rsidDel="00000000" w:rsidR="00000000" w:rsidRPr="00000000">
              <w:rPr>
                <w:color w:val="1f1f1f"/>
                <w:sz w:val="22"/>
                <w:szCs w:val="22"/>
                <w:highlight w:val="white"/>
                <w:rtl w:val="0"/>
              </w:rPr>
              <w:t xml:space="preserve">Trust in gig economy for their main job </w:t>
            </w:r>
          </w:p>
        </w:tc>
        <w:tc>
          <w:tcPr/>
          <w:p w:rsidR="00000000" w:rsidDel="00000000" w:rsidP="00000000" w:rsidRDefault="00000000" w:rsidRPr="00000000" w14:paraId="0000002F">
            <w:pPr>
              <w:jc w:val="both"/>
              <w:rPr>
                <w:color w:val="1f1f1f"/>
                <w:sz w:val="22"/>
                <w:szCs w:val="22"/>
                <w:highlight w:val="white"/>
              </w:rPr>
            </w:pPr>
            <w:r w:rsidDel="00000000" w:rsidR="00000000" w:rsidRPr="00000000">
              <w:rPr>
                <w:color w:val="1f1f1f"/>
                <w:sz w:val="22"/>
                <w:szCs w:val="22"/>
                <w:highlight w:val="white"/>
                <w:rtl w:val="0"/>
              </w:rPr>
              <w:t xml:space="preserve">10.1. of workers</w:t>
            </w:r>
            <w:r w:rsidDel="00000000" w:rsidR="00000000" w:rsidRPr="00000000">
              <w:rPr>
                <w:color w:val="1f1f1f"/>
                <w:sz w:val="22"/>
                <w:szCs w:val="22"/>
                <w:highlight w:val="white"/>
                <w:vertAlign w:val="superscript"/>
              </w:rPr>
              <w:footnoteReference w:customMarkFollows="0" w:id="10"/>
            </w:r>
            <w:r w:rsidDel="00000000" w:rsidR="00000000" w:rsidRPr="00000000">
              <w:rPr>
                <w:rtl w:val="0"/>
              </w:rPr>
            </w:r>
          </w:p>
        </w:tc>
      </w:tr>
    </w:tbl>
    <w:p w:rsidR="00000000" w:rsidDel="00000000" w:rsidP="00000000" w:rsidRDefault="00000000" w:rsidRPr="00000000" w14:paraId="00000030">
      <w:pPr>
        <w:jc w:val="both"/>
        <w:rPr>
          <w:color w:val="1f1f1f"/>
          <w:sz w:val="22"/>
          <w:szCs w:val="22"/>
          <w:highlight w:val="white"/>
        </w:rPr>
      </w:pPr>
      <w:r w:rsidDel="00000000" w:rsidR="00000000" w:rsidRPr="00000000">
        <w:rPr>
          <w:rtl w:val="0"/>
        </w:rPr>
      </w:r>
    </w:p>
    <w:p w:rsidR="00000000" w:rsidDel="00000000" w:rsidP="00000000" w:rsidRDefault="00000000" w:rsidRPr="00000000" w14:paraId="00000031">
      <w:pPr>
        <w:jc w:val="both"/>
        <w:rPr>
          <w:i w:val="1"/>
          <w:color w:val="1f1f1f"/>
          <w:sz w:val="22"/>
          <w:szCs w:val="22"/>
          <w:highlight w:val="white"/>
        </w:rPr>
      </w:pPr>
      <w:r w:rsidDel="00000000" w:rsidR="00000000" w:rsidRPr="00000000">
        <w:rPr>
          <w:rtl w:val="0"/>
        </w:rPr>
      </w:r>
    </w:p>
    <w:p w:rsidR="00000000" w:rsidDel="00000000" w:rsidP="00000000" w:rsidRDefault="00000000" w:rsidRPr="00000000" w14:paraId="00000032">
      <w:pPr>
        <w:jc w:val="both"/>
        <w:rPr>
          <w:b w:val="1"/>
          <w:color w:val="1f1f1f"/>
          <w:highlight w:val="white"/>
        </w:rPr>
      </w:pPr>
      <w:r w:rsidDel="00000000" w:rsidR="00000000" w:rsidRPr="00000000">
        <w:rPr>
          <w:b w:val="1"/>
          <w:color w:val="1f1f1f"/>
          <w:highlight w:val="white"/>
          <w:rtl w:val="0"/>
        </w:rPr>
        <w:t xml:space="preserve">Economics:</w:t>
      </w:r>
    </w:p>
    <w:p w:rsidR="00000000" w:rsidDel="00000000" w:rsidP="00000000" w:rsidRDefault="00000000" w:rsidRPr="00000000" w14:paraId="00000033">
      <w:pPr>
        <w:jc w:val="both"/>
        <w:rPr>
          <w:b w:val="1"/>
          <w:color w:val="1f1f1f"/>
          <w:sz w:val="22"/>
          <w:szCs w:val="22"/>
          <w:highlight w:val="white"/>
        </w:rPr>
      </w:pPr>
      <w:r w:rsidDel="00000000" w:rsidR="00000000" w:rsidRPr="00000000">
        <w:rPr>
          <w:rtl w:val="0"/>
        </w:rPr>
      </w:r>
    </w:p>
    <w:p w:rsidR="00000000" w:rsidDel="00000000" w:rsidP="00000000" w:rsidRDefault="00000000" w:rsidRPr="00000000" w14:paraId="00000034">
      <w:pPr>
        <w:jc w:val="both"/>
        <w:rPr>
          <w:color w:val="1f1f1f"/>
          <w:sz w:val="22"/>
          <w:szCs w:val="22"/>
          <w:highlight w:val="white"/>
        </w:rPr>
      </w:pPr>
      <w:r w:rsidDel="00000000" w:rsidR="00000000" w:rsidRPr="00000000">
        <w:rPr>
          <w:color w:val="1f1f1f"/>
          <w:sz w:val="22"/>
          <w:szCs w:val="22"/>
          <w:highlight w:val="white"/>
          <w:rtl w:val="0"/>
        </w:rPr>
        <w:t xml:space="preserve">In this instance we will focus in Uber drivers. </w:t>
      </w:r>
    </w:p>
    <w:p w:rsidR="00000000" w:rsidDel="00000000" w:rsidP="00000000" w:rsidRDefault="00000000" w:rsidRPr="00000000" w14:paraId="00000035">
      <w:pPr>
        <w:jc w:val="both"/>
        <w:rPr>
          <w:sz w:val="22"/>
          <w:szCs w:val="22"/>
        </w:rPr>
      </w:pPr>
      <w:r w:rsidDel="00000000" w:rsidR="00000000" w:rsidRPr="00000000">
        <w:rPr>
          <w:rtl w:val="0"/>
        </w:rPr>
      </w:r>
    </w:p>
    <w:p w:rsidR="00000000" w:rsidDel="00000000" w:rsidP="00000000" w:rsidRDefault="00000000" w:rsidRPr="00000000" w14:paraId="00000036">
      <w:pPr>
        <w:jc w:val="both"/>
        <w:rPr>
          <w:sz w:val="22"/>
          <w:szCs w:val="22"/>
        </w:rPr>
      </w:pPr>
      <w:r w:rsidDel="00000000" w:rsidR="00000000" w:rsidRPr="00000000">
        <w:rPr>
          <w:sz w:val="22"/>
          <w:szCs w:val="22"/>
          <w:rtl w:val="0"/>
        </w:rPr>
        <w:t xml:space="preserve">Both, profits and the costs that drivers have are complex and variable depending on the time and the distance. Different factors might influence the income, such as: (i) offer and demand, (ii) whether the route is shared between many people who opt for pool services, (iii) bonuses and promotions that companies can provide, (iv) costs of the car, e.g.: rent a car or vehicle depreciation, insurance, maintenance, fuel, etc., (v) taxes, (vi) suppliers (services, e.g. tax advisor), (viii) tips. </w:t>
      </w:r>
    </w:p>
    <w:p w:rsidR="00000000" w:rsidDel="00000000" w:rsidP="00000000" w:rsidRDefault="00000000" w:rsidRPr="00000000" w14:paraId="00000037">
      <w:pPr>
        <w:jc w:val="both"/>
        <w:rPr>
          <w:sz w:val="22"/>
          <w:szCs w:val="22"/>
        </w:rPr>
      </w:pPr>
      <w:r w:rsidDel="00000000" w:rsidR="00000000" w:rsidRPr="00000000">
        <w:rPr>
          <w:rtl w:val="0"/>
        </w:rPr>
      </w:r>
    </w:p>
    <w:p w:rsidR="00000000" w:rsidDel="00000000" w:rsidP="00000000" w:rsidRDefault="00000000" w:rsidRPr="00000000" w14:paraId="00000038">
      <w:pPr>
        <w:jc w:val="both"/>
        <w:rPr>
          <w:sz w:val="22"/>
          <w:szCs w:val="22"/>
        </w:rPr>
      </w:pPr>
      <w:r w:rsidDel="00000000" w:rsidR="00000000" w:rsidRPr="00000000">
        <w:rPr>
          <w:sz w:val="22"/>
          <w:szCs w:val="22"/>
          <w:rtl w:val="0"/>
        </w:rPr>
        <w:t xml:space="preserve">There are multiple studies related to the profit for gig workers, based in diverse assumptions. Some show that the revenue for the drivers is represented in small numbers, others take averages for vehicles’ expenses, use estimates and calculate monthly profit. Also, there are studies that consider the price elasticity, the benefit for the consumer for buying a product for a cheaper price that they would be willing to pay for, and inefficiencies (e.g. long rides). Finally, to consider taxes some use the regular mileage deduction ($54 in 2016) </w:t>
      </w:r>
      <w:r w:rsidDel="00000000" w:rsidR="00000000" w:rsidRPr="00000000">
        <w:rPr>
          <w:sz w:val="22"/>
          <w:szCs w:val="22"/>
          <w:vertAlign w:val="superscript"/>
        </w:rPr>
        <w:footnoteReference w:customMarkFollows="0" w:id="11"/>
      </w:r>
      <w:r w:rsidDel="00000000" w:rsidR="00000000" w:rsidRPr="00000000">
        <w:rPr>
          <w:rtl w:val="0"/>
        </w:rPr>
      </w:r>
    </w:p>
    <w:p w:rsidR="00000000" w:rsidDel="00000000" w:rsidP="00000000" w:rsidRDefault="00000000" w:rsidRPr="00000000" w14:paraId="00000039">
      <w:pPr>
        <w:jc w:val="both"/>
        <w:rPr>
          <w:sz w:val="22"/>
          <w:szCs w:val="22"/>
        </w:rPr>
      </w:pPr>
      <w:r w:rsidDel="00000000" w:rsidR="00000000" w:rsidRPr="00000000">
        <w:rPr>
          <w:rtl w:val="0"/>
        </w:rPr>
      </w:r>
    </w:p>
    <w:p w:rsidR="00000000" w:rsidDel="00000000" w:rsidP="00000000" w:rsidRDefault="00000000" w:rsidRPr="00000000" w14:paraId="0000003A">
      <w:pPr>
        <w:jc w:val="both"/>
        <w:rPr>
          <w:sz w:val="22"/>
          <w:szCs w:val="22"/>
        </w:rPr>
      </w:pPr>
      <w:r w:rsidDel="00000000" w:rsidR="00000000" w:rsidRPr="00000000">
        <w:rPr>
          <w:sz w:val="22"/>
          <w:szCs w:val="22"/>
          <w:rtl w:val="0"/>
        </w:rPr>
        <w:t xml:space="preserve">However, none of these studies consider the drop in the demand, the increase of competition in the market and the impact of additional miles.</w:t>
      </w:r>
    </w:p>
    <w:p w:rsidR="00000000" w:rsidDel="00000000" w:rsidP="00000000" w:rsidRDefault="00000000" w:rsidRPr="00000000" w14:paraId="0000003B">
      <w:pPr>
        <w:jc w:val="both"/>
        <w:rPr>
          <w:sz w:val="22"/>
          <w:szCs w:val="22"/>
        </w:rPr>
      </w:pPr>
      <w:r w:rsidDel="00000000" w:rsidR="00000000" w:rsidRPr="00000000">
        <w:rPr>
          <w:rtl w:val="0"/>
        </w:rPr>
      </w:r>
    </w:p>
    <w:p w:rsidR="00000000" w:rsidDel="00000000" w:rsidP="00000000" w:rsidRDefault="00000000" w:rsidRPr="00000000" w14:paraId="0000003C">
      <w:pPr>
        <w:jc w:val="both"/>
        <w:rPr>
          <w:sz w:val="22"/>
          <w:szCs w:val="22"/>
        </w:rPr>
      </w:pPr>
      <w:r w:rsidDel="00000000" w:rsidR="00000000" w:rsidRPr="00000000">
        <w:rPr>
          <w:sz w:val="22"/>
          <w:szCs w:val="22"/>
          <w:rtl w:val="0"/>
        </w:rPr>
        <w:t xml:space="preserve">The Study made by MIT Center for Energy and Environmental Policy Research</w:t>
      </w:r>
      <w:r w:rsidDel="00000000" w:rsidR="00000000" w:rsidRPr="00000000">
        <w:rPr>
          <w:sz w:val="22"/>
          <w:szCs w:val="22"/>
          <w:vertAlign w:val="superscript"/>
        </w:rPr>
        <w:footnoteReference w:customMarkFollows="0" w:id="12"/>
      </w:r>
      <w:r w:rsidDel="00000000" w:rsidR="00000000" w:rsidRPr="00000000">
        <w:rPr>
          <w:sz w:val="22"/>
          <w:szCs w:val="22"/>
          <w:rtl w:val="0"/>
        </w:rPr>
        <w:t xml:space="preserve"> considered the following operational costs: </w:t>
      </w:r>
    </w:p>
    <w:p w:rsidR="00000000" w:rsidDel="00000000" w:rsidP="00000000" w:rsidRDefault="00000000" w:rsidRPr="00000000" w14:paraId="0000003D">
      <w:pPr>
        <w:jc w:val="both"/>
        <w:rPr>
          <w:sz w:val="22"/>
          <w:szCs w:val="22"/>
        </w:rPr>
      </w:pPr>
      <w:r w:rsidDel="00000000" w:rsidR="00000000" w:rsidRPr="00000000">
        <w:rPr>
          <w:rtl w:val="0"/>
        </w:rPr>
      </w:r>
    </w:p>
    <w:p w:rsidR="00000000" w:rsidDel="00000000" w:rsidP="00000000" w:rsidRDefault="00000000" w:rsidRPr="00000000" w14:paraId="0000003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Fuel: considered fuel price, for each vehicle, also, that there was an increment in hybrid vehicles.</w:t>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Insurance: A fixed cost which depends on the monthly miles ridded. </w:t>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and repairs costs: for new vehicles was nearly zero and increased considering the time. </w:t>
      </w:r>
    </w:p>
    <w:p w:rsidR="00000000" w:rsidDel="00000000" w:rsidP="00000000" w:rsidRDefault="00000000" w:rsidRPr="00000000" w14:paraId="0000004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134"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Depreciation: was related to the age of the vehicle, nonetheless the newest ones depreciate faster.</w:t>
      </w:r>
    </w:p>
    <w:p w:rsidR="00000000" w:rsidDel="00000000" w:rsidP="00000000" w:rsidRDefault="00000000" w:rsidRPr="00000000" w14:paraId="00000042">
      <w:pPr>
        <w:jc w:val="both"/>
        <w:rPr>
          <w:sz w:val="22"/>
          <w:szCs w:val="22"/>
        </w:rPr>
      </w:pPr>
      <w:r w:rsidDel="00000000" w:rsidR="00000000" w:rsidRPr="00000000">
        <w:rPr>
          <w:rtl w:val="0"/>
        </w:rPr>
      </w:r>
    </w:p>
    <w:p w:rsidR="00000000" w:rsidDel="00000000" w:rsidP="00000000" w:rsidRDefault="00000000" w:rsidRPr="00000000" w14:paraId="00000043">
      <w:pPr>
        <w:jc w:val="both"/>
        <w:rPr>
          <w:sz w:val="22"/>
          <w:szCs w:val="22"/>
        </w:rPr>
      </w:pPr>
      <w:bookmarkStart w:colFirst="0" w:colLast="0" w:name="_gjdgxs" w:id="0"/>
      <w:bookmarkEnd w:id="0"/>
      <w:r w:rsidDel="00000000" w:rsidR="00000000" w:rsidRPr="00000000">
        <w:rPr>
          <w:sz w:val="22"/>
          <w:szCs w:val="22"/>
          <w:rtl w:val="0"/>
        </w:rPr>
        <w:t xml:space="preserve">Furthermore, seemingly drivers might have other costs, e.g.: parking and taxes; and also is important to note that the 80% of the drivers work less than 40 hours per week. </w:t>
      </w:r>
    </w:p>
    <w:p w:rsidR="00000000" w:rsidDel="00000000" w:rsidP="00000000" w:rsidRDefault="00000000" w:rsidRPr="00000000" w14:paraId="00000044">
      <w:pPr>
        <w:jc w:val="both"/>
        <w:rPr>
          <w:sz w:val="22"/>
          <w:szCs w:val="22"/>
        </w:rPr>
      </w:pPr>
      <w:r w:rsidDel="00000000" w:rsidR="00000000" w:rsidRPr="00000000">
        <w:rPr>
          <w:rtl w:val="0"/>
        </w:rPr>
      </w:r>
    </w:p>
    <w:p w:rsidR="00000000" w:rsidDel="00000000" w:rsidP="00000000" w:rsidRDefault="00000000" w:rsidRPr="00000000" w14:paraId="00000045">
      <w:pPr>
        <w:jc w:val="both"/>
        <w:rPr>
          <w:sz w:val="22"/>
          <w:szCs w:val="22"/>
        </w:rPr>
      </w:pPr>
      <w:r w:rsidDel="00000000" w:rsidR="00000000" w:rsidRPr="00000000">
        <w:rPr>
          <w:sz w:val="22"/>
          <w:szCs w:val="22"/>
          <w:rtl w:val="0"/>
        </w:rPr>
        <w:t xml:space="preserve">In conclusion, regarding the study above mentioned, drivers, per mile, approximately, have a median of:</w:t>
      </w:r>
    </w:p>
    <w:p w:rsidR="00000000" w:rsidDel="00000000" w:rsidP="00000000" w:rsidRDefault="00000000" w:rsidRPr="00000000" w14:paraId="00000046">
      <w:pPr>
        <w:jc w:val="both"/>
        <w:rPr>
          <w:sz w:val="22"/>
          <w:szCs w:val="22"/>
        </w:rPr>
      </w:pPr>
      <w:r w:rsidDel="00000000" w:rsidR="00000000" w:rsidRPr="00000000">
        <w:rPr>
          <w:rtl w:val="0"/>
        </w:rPr>
      </w:r>
    </w:p>
    <w:tbl>
      <w:tblPr>
        <w:tblStyle w:val="Table2"/>
        <w:tblW w:w="5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9"/>
        <w:gridCol w:w="2829"/>
        <w:tblGridChange w:id="0">
          <w:tblGrid>
            <w:gridCol w:w="2829"/>
            <w:gridCol w:w="2829"/>
          </w:tblGrid>
        </w:tblGridChange>
      </w:tblGrid>
      <w:tr>
        <w:tc>
          <w:tcPr/>
          <w:p w:rsidR="00000000" w:rsidDel="00000000" w:rsidP="00000000" w:rsidRDefault="00000000" w:rsidRPr="00000000" w14:paraId="00000047">
            <w:pPr>
              <w:jc w:val="center"/>
              <w:rPr>
                <w:b w:val="1"/>
                <w:i w:val="1"/>
              </w:rPr>
            </w:pPr>
            <w:r w:rsidDel="00000000" w:rsidR="00000000" w:rsidRPr="00000000">
              <w:rPr>
                <w:b w:val="1"/>
                <w:i w:val="1"/>
                <w:rtl w:val="0"/>
              </w:rPr>
              <w:t xml:space="preserve">Concept</w:t>
            </w:r>
          </w:p>
        </w:tc>
        <w:tc>
          <w:tcPr/>
          <w:p w:rsidR="00000000" w:rsidDel="00000000" w:rsidP="00000000" w:rsidRDefault="00000000" w:rsidRPr="00000000" w14:paraId="00000048">
            <w:pPr>
              <w:jc w:val="center"/>
              <w:rPr>
                <w:b w:val="1"/>
                <w:i w:val="1"/>
              </w:rPr>
            </w:pPr>
            <w:r w:rsidDel="00000000" w:rsidR="00000000" w:rsidRPr="00000000">
              <w:rPr>
                <w:b w:val="1"/>
                <w:i w:val="1"/>
                <w:rtl w:val="0"/>
              </w:rPr>
              <w:t xml:space="preserve">Median $/per mile</w:t>
            </w:r>
          </w:p>
        </w:tc>
      </w:tr>
      <w:tr>
        <w:tc>
          <w:tcPr/>
          <w:p w:rsidR="00000000" w:rsidDel="00000000" w:rsidP="00000000" w:rsidRDefault="00000000" w:rsidRPr="00000000" w14:paraId="00000049">
            <w:pPr>
              <w:jc w:val="both"/>
              <w:rPr>
                <w:b w:val="1"/>
                <w:sz w:val="22"/>
                <w:szCs w:val="22"/>
              </w:rPr>
            </w:pPr>
            <w:r w:rsidDel="00000000" w:rsidR="00000000" w:rsidRPr="00000000">
              <w:rPr>
                <w:b w:val="1"/>
                <w:sz w:val="22"/>
                <w:szCs w:val="22"/>
                <w:rtl w:val="0"/>
              </w:rPr>
              <w:t xml:space="preserve">Revenue</w:t>
            </w:r>
          </w:p>
        </w:tc>
        <w:tc>
          <w:tcPr/>
          <w:p w:rsidR="00000000" w:rsidDel="00000000" w:rsidP="00000000" w:rsidRDefault="00000000" w:rsidRPr="00000000" w14:paraId="0000004A">
            <w:pPr>
              <w:jc w:val="both"/>
              <w:rPr>
                <w:b w:val="1"/>
                <w:sz w:val="22"/>
                <w:szCs w:val="22"/>
              </w:rPr>
            </w:pPr>
            <w:r w:rsidDel="00000000" w:rsidR="00000000" w:rsidRPr="00000000">
              <w:rPr>
                <w:b w:val="1"/>
                <w:sz w:val="22"/>
                <w:szCs w:val="22"/>
                <w:rtl w:val="0"/>
              </w:rPr>
              <w:t xml:space="preserve">$ 0,592 before expenses</w:t>
            </w:r>
            <w:r w:rsidDel="00000000" w:rsidR="00000000" w:rsidRPr="00000000">
              <w:rPr>
                <w:b w:val="1"/>
                <w:sz w:val="22"/>
                <w:szCs w:val="22"/>
                <w:vertAlign w:val="superscript"/>
              </w:rPr>
              <w:footnoteReference w:customMarkFollows="0" w:id="13"/>
            </w:r>
            <w:r w:rsidDel="00000000" w:rsidR="00000000" w:rsidRPr="00000000">
              <w:rPr>
                <w:rtl w:val="0"/>
              </w:rPr>
            </w:r>
          </w:p>
        </w:tc>
      </w:tr>
      <w:tr>
        <w:tc>
          <w:tcPr/>
          <w:p w:rsidR="00000000" w:rsidDel="00000000" w:rsidP="00000000" w:rsidRDefault="00000000" w:rsidRPr="00000000" w14:paraId="0000004B">
            <w:pPr>
              <w:jc w:val="both"/>
              <w:rPr>
                <w:sz w:val="22"/>
                <w:szCs w:val="22"/>
              </w:rPr>
            </w:pPr>
            <w:r w:rsidDel="00000000" w:rsidR="00000000" w:rsidRPr="00000000">
              <w:rPr>
                <w:sz w:val="22"/>
                <w:szCs w:val="22"/>
                <w:rtl w:val="0"/>
              </w:rPr>
              <w:t xml:space="preserve">Insurance, Maintenance and Repair costs</w:t>
            </w:r>
          </w:p>
        </w:tc>
        <w:tc>
          <w:tcPr/>
          <w:p w:rsidR="00000000" w:rsidDel="00000000" w:rsidP="00000000" w:rsidRDefault="00000000" w:rsidRPr="00000000" w14:paraId="0000004C">
            <w:pPr>
              <w:jc w:val="both"/>
              <w:rPr>
                <w:sz w:val="22"/>
                <w:szCs w:val="22"/>
              </w:rPr>
            </w:pPr>
            <w:r w:rsidDel="00000000" w:rsidR="00000000" w:rsidRPr="00000000">
              <w:rPr>
                <w:sz w:val="22"/>
                <w:szCs w:val="22"/>
                <w:rtl w:val="0"/>
              </w:rPr>
              <w:t xml:space="preserve">$ 0.13</w:t>
            </w:r>
          </w:p>
        </w:tc>
      </w:tr>
      <w:tr>
        <w:tc>
          <w:tcPr/>
          <w:p w:rsidR="00000000" w:rsidDel="00000000" w:rsidP="00000000" w:rsidRDefault="00000000" w:rsidRPr="00000000" w14:paraId="0000004D">
            <w:pPr>
              <w:jc w:val="both"/>
              <w:rPr>
                <w:sz w:val="22"/>
                <w:szCs w:val="22"/>
              </w:rPr>
            </w:pPr>
            <w:r w:rsidDel="00000000" w:rsidR="00000000" w:rsidRPr="00000000">
              <w:rPr>
                <w:sz w:val="22"/>
                <w:szCs w:val="22"/>
                <w:rtl w:val="0"/>
              </w:rPr>
              <w:t xml:space="preserve">Depreciation costs</w:t>
            </w:r>
          </w:p>
        </w:tc>
        <w:tc>
          <w:tcPr/>
          <w:p w:rsidR="00000000" w:rsidDel="00000000" w:rsidP="00000000" w:rsidRDefault="00000000" w:rsidRPr="00000000" w14:paraId="0000004E">
            <w:pPr>
              <w:jc w:val="both"/>
              <w:rPr>
                <w:sz w:val="22"/>
                <w:szCs w:val="22"/>
              </w:rPr>
            </w:pPr>
            <w:r w:rsidDel="00000000" w:rsidR="00000000" w:rsidRPr="00000000">
              <w:rPr>
                <w:sz w:val="22"/>
                <w:szCs w:val="22"/>
                <w:rtl w:val="0"/>
              </w:rPr>
              <w:t xml:space="preserve">$0 .05</w:t>
            </w:r>
            <w:r w:rsidDel="00000000" w:rsidR="00000000" w:rsidRPr="00000000">
              <w:rPr>
                <w:sz w:val="22"/>
                <w:szCs w:val="22"/>
                <w:vertAlign w:val="superscript"/>
              </w:rPr>
              <w:footnoteReference w:customMarkFollows="0" w:id="14"/>
            </w:r>
            <w:r w:rsidDel="00000000" w:rsidR="00000000" w:rsidRPr="00000000">
              <w:rPr>
                <w:rtl w:val="0"/>
              </w:rPr>
            </w:r>
          </w:p>
        </w:tc>
      </w:tr>
      <w:tr>
        <w:tc>
          <w:tcPr/>
          <w:p w:rsidR="00000000" w:rsidDel="00000000" w:rsidP="00000000" w:rsidRDefault="00000000" w:rsidRPr="00000000" w14:paraId="0000004F">
            <w:pPr>
              <w:jc w:val="both"/>
              <w:rPr>
                <w:sz w:val="22"/>
                <w:szCs w:val="22"/>
              </w:rPr>
            </w:pPr>
            <w:r w:rsidDel="00000000" w:rsidR="00000000" w:rsidRPr="00000000">
              <w:rPr>
                <w:sz w:val="22"/>
                <w:szCs w:val="22"/>
                <w:rtl w:val="0"/>
              </w:rPr>
              <w:t xml:space="preserve">Fuel</w:t>
            </w:r>
          </w:p>
        </w:tc>
        <w:tc>
          <w:tcPr/>
          <w:p w:rsidR="00000000" w:rsidDel="00000000" w:rsidP="00000000" w:rsidRDefault="00000000" w:rsidRPr="00000000" w14:paraId="00000050">
            <w:pPr>
              <w:jc w:val="both"/>
              <w:rPr>
                <w:sz w:val="22"/>
                <w:szCs w:val="22"/>
              </w:rPr>
            </w:pPr>
            <w:r w:rsidDel="00000000" w:rsidR="00000000" w:rsidRPr="00000000">
              <w:rPr>
                <w:sz w:val="22"/>
                <w:szCs w:val="22"/>
                <w:rtl w:val="0"/>
              </w:rPr>
              <w:t xml:space="preserve">between $ .05 and $ 0.27</w:t>
            </w:r>
          </w:p>
        </w:tc>
      </w:tr>
      <w:tr>
        <w:tc>
          <w:tcPr/>
          <w:p w:rsidR="00000000" w:rsidDel="00000000" w:rsidP="00000000" w:rsidRDefault="00000000" w:rsidRPr="00000000" w14:paraId="00000051">
            <w:pPr>
              <w:jc w:val="both"/>
              <w:rPr>
                <w:b w:val="1"/>
                <w:sz w:val="22"/>
                <w:szCs w:val="22"/>
              </w:rPr>
            </w:pPr>
            <w:r w:rsidDel="00000000" w:rsidR="00000000" w:rsidRPr="00000000">
              <w:rPr>
                <w:b w:val="1"/>
                <w:sz w:val="22"/>
                <w:szCs w:val="22"/>
                <w:rtl w:val="0"/>
              </w:rPr>
              <w:t xml:space="preserve">Total Costs</w:t>
            </w:r>
          </w:p>
        </w:tc>
        <w:tc>
          <w:tcPr/>
          <w:p w:rsidR="00000000" w:rsidDel="00000000" w:rsidP="00000000" w:rsidRDefault="00000000" w:rsidRPr="00000000" w14:paraId="00000052">
            <w:pPr>
              <w:jc w:val="both"/>
              <w:rPr>
                <w:b w:val="1"/>
                <w:sz w:val="22"/>
                <w:szCs w:val="22"/>
              </w:rPr>
            </w:pPr>
            <w:r w:rsidDel="00000000" w:rsidR="00000000" w:rsidRPr="00000000">
              <w:rPr>
                <w:b w:val="1"/>
                <w:sz w:val="22"/>
                <w:szCs w:val="22"/>
                <w:rtl w:val="0"/>
              </w:rPr>
              <w:t xml:space="preserve">$ 0.3</w:t>
            </w:r>
            <w:r w:rsidDel="00000000" w:rsidR="00000000" w:rsidRPr="00000000">
              <w:rPr>
                <w:b w:val="1"/>
                <w:sz w:val="22"/>
                <w:szCs w:val="22"/>
                <w:vertAlign w:val="superscript"/>
              </w:rPr>
              <w:footnoteReference w:customMarkFollows="0" w:id="15"/>
            </w:r>
            <w:r w:rsidDel="00000000" w:rsidR="00000000" w:rsidRPr="00000000">
              <w:rPr>
                <w:b w:val="1"/>
                <w:sz w:val="22"/>
                <w:szCs w:val="22"/>
                <w:rtl w:val="0"/>
              </w:rPr>
              <w:t xml:space="preserve"> </w:t>
            </w:r>
            <w:r w:rsidDel="00000000" w:rsidR="00000000" w:rsidRPr="00000000">
              <w:rPr>
                <w:b w:val="1"/>
                <w:i w:val="1"/>
                <w:sz w:val="21"/>
                <w:szCs w:val="21"/>
                <w:rtl w:val="0"/>
              </w:rPr>
              <w:t xml:space="preserve">(approx.)</w:t>
            </w:r>
            <w:r w:rsidDel="00000000" w:rsidR="00000000" w:rsidRPr="00000000">
              <w:rPr>
                <w:rtl w:val="0"/>
              </w:rPr>
            </w:r>
          </w:p>
        </w:tc>
      </w:tr>
      <w:tr>
        <w:tc>
          <w:tcPr/>
          <w:p w:rsidR="00000000" w:rsidDel="00000000" w:rsidP="00000000" w:rsidRDefault="00000000" w:rsidRPr="00000000" w14:paraId="00000053">
            <w:pPr>
              <w:jc w:val="both"/>
              <w:rPr>
                <w:b w:val="1"/>
                <w:sz w:val="22"/>
                <w:szCs w:val="22"/>
              </w:rPr>
            </w:pPr>
            <w:r w:rsidDel="00000000" w:rsidR="00000000" w:rsidRPr="00000000">
              <w:rPr>
                <w:b w:val="1"/>
                <w:sz w:val="22"/>
                <w:szCs w:val="22"/>
                <w:rtl w:val="0"/>
              </w:rPr>
              <w:t xml:space="preserve">Profits before taxes</w:t>
            </w:r>
          </w:p>
        </w:tc>
        <w:tc>
          <w:tcPr/>
          <w:p w:rsidR="00000000" w:rsidDel="00000000" w:rsidP="00000000" w:rsidRDefault="00000000" w:rsidRPr="00000000" w14:paraId="00000054">
            <w:pPr>
              <w:jc w:val="both"/>
              <w:rPr>
                <w:b w:val="1"/>
                <w:sz w:val="22"/>
                <w:szCs w:val="22"/>
              </w:rPr>
            </w:pPr>
            <w:r w:rsidDel="00000000" w:rsidR="00000000" w:rsidRPr="00000000">
              <w:rPr>
                <w:b w:val="1"/>
                <w:sz w:val="22"/>
                <w:szCs w:val="22"/>
                <w:rtl w:val="0"/>
              </w:rPr>
              <w:t xml:space="preserve">$ 0.29</w:t>
            </w:r>
          </w:p>
        </w:tc>
      </w:tr>
      <w:tr>
        <w:tc>
          <w:tcPr/>
          <w:p w:rsidR="00000000" w:rsidDel="00000000" w:rsidP="00000000" w:rsidRDefault="00000000" w:rsidRPr="00000000" w14:paraId="00000055">
            <w:pPr>
              <w:jc w:val="both"/>
              <w:rPr>
                <w:b w:val="1"/>
                <w:sz w:val="22"/>
                <w:szCs w:val="22"/>
              </w:rPr>
            </w:pPr>
            <w:r w:rsidDel="00000000" w:rsidR="00000000" w:rsidRPr="00000000">
              <w:rPr>
                <w:b w:val="1"/>
                <w:sz w:val="22"/>
                <w:szCs w:val="22"/>
                <w:rtl w:val="0"/>
              </w:rPr>
              <w:t xml:space="preserve">Standard mileage deduction</w:t>
            </w:r>
          </w:p>
        </w:tc>
        <w:tc>
          <w:tcPr/>
          <w:p w:rsidR="00000000" w:rsidDel="00000000" w:rsidP="00000000" w:rsidRDefault="00000000" w:rsidRPr="00000000" w14:paraId="00000056">
            <w:pPr>
              <w:jc w:val="both"/>
              <w:rPr>
                <w:b w:val="1"/>
                <w:sz w:val="22"/>
                <w:szCs w:val="22"/>
              </w:rPr>
            </w:pPr>
            <w:r w:rsidDel="00000000" w:rsidR="00000000" w:rsidRPr="00000000">
              <w:rPr>
                <w:b w:val="1"/>
                <w:sz w:val="22"/>
                <w:szCs w:val="22"/>
                <w:rtl w:val="0"/>
              </w:rPr>
              <w:t xml:space="preserve">$0.54</w:t>
            </w:r>
          </w:p>
        </w:tc>
      </w:tr>
    </w:tbl>
    <w:p w:rsidR="00000000" w:rsidDel="00000000" w:rsidP="00000000" w:rsidRDefault="00000000" w:rsidRPr="00000000" w14:paraId="00000057">
      <w:pPr>
        <w:jc w:val="both"/>
        <w:rPr>
          <w:sz w:val="22"/>
          <w:szCs w:val="22"/>
        </w:rPr>
      </w:pPr>
      <w:r w:rsidDel="00000000" w:rsidR="00000000" w:rsidRPr="00000000">
        <w:rPr>
          <w:rtl w:val="0"/>
        </w:rPr>
      </w:r>
    </w:p>
    <w:p w:rsidR="00000000" w:rsidDel="00000000" w:rsidP="00000000" w:rsidRDefault="00000000" w:rsidRPr="00000000" w14:paraId="00000058">
      <w:pPr>
        <w:jc w:val="both"/>
        <w:rPr>
          <w:sz w:val="22"/>
          <w:szCs w:val="22"/>
        </w:rPr>
      </w:pPr>
      <w:r w:rsidDel="00000000" w:rsidR="00000000" w:rsidRPr="00000000">
        <w:rPr>
          <w:sz w:val="22"/>
          <w:szCs w:val="22"/>
          <w:rtl w:val="0"/>
        </w:rPr>
        <w:t xml:space="preserve">Taxes are significantly larger than the total costs, and 47% of drivers report fewer profits than the standard mileage deduction. Although they are earning as a median per month $ 309.7, with a taxable median income of $ 52.85. The median income per hour is $ 3.37/hour. In daily practice, some in their tax filed negate income, adding losses or using others nets. Approximately 30% of the drivers are failing to earn profit per mile.</w:t>
      </w:r>
      <w:r w:rsidDel="00000000" w:rsidR="00000000" w:rsidRPr="00000000">
        <w:rPr>
          <w:sz w:val="22"/>
          <w:szCs w:val="22"/>
          <w:vertAlign w:val="superscript"/>
        </w:rPr>
        <w:footnoteReference w:customMarkFollows="0" w:id="16"/>
      </w:r>
      <w:r w:rsidDel="00000000" w:rsidR="00000000" w:rsidRPr="00000000">
        <w:rPr>
          <w:rtl w:val="0"/>
        </w:rPr>
      </w:r>
    </w:p>
    <w:p w:rsidR="00000000" w:rsidDel="00000000" w:rsidP="00000000" w:rsidRDefault="00000000" w:rsidRPr="00000000" w14:paraId="00000059">
      <w:pPr>
        <w:jc w:val="both"/>
        <w:rPr>
          <w:sz w:val="22"/>
          <w:szCs w:val="22"/>
        </w:rPr>
      </w:pPr>
      <w:r w:rsidDel="00000000" w:rsidR="00000000" w:rsidRPr="00000000">
        <w:rPr>
          <w:rtl w:val="0"/>
        </w:rPr>
      </w:r>
    </w:p>
    <w:sectPr>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A">
      <w:pPr>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McKinsey: “Independent work: choice, necessity, and the Gig Economy”. URL: </w:t>
      </w:r>
      <w:hyperlink r:id="rId1">
        <w:r w:rsidDel="00000000" w:rsidR="00000000" w:rsidRPr="00000000">
          <w:rPr>
            <w:color w:val="000000"/>
            <w:sz w:val="20"/>
            <w:szCs w:val="20"/>
            <w:u w:val="single"/>
            <w:rtl w:val="0"/>
          </w:rPr>
          <w:t xml:space="preserve">https://www.mckinsey.com/~/media/McKinsey/Featured%20Insights/Employment%20and%20Growth/Independent%20work%20Choice%20necessity%20and%20the%20gig%20economy/Independent-Work-Choice-necessity-and-the-gig-economy-Executive-Summary.ashx</w:t>
        </w:r>
      </w:hyperlink>
      <w:r w:rsidDel="00000000" w:rsidR="00000000" w:rsidRPr="00000000">
        <w:rPr>
          <w:color w:val="000000"/>
          <w:sz w:val="20"/>
          <w:szCs w:val="20"/>
          <w:rtl w:val="0"/>
        </w:rPr>
        <w:t xml:space="preserve"> </w:t>
      </w:r>
    </w:p>
  </w:footnote>
  <w:footnote w:id="1">
    <w:p w:rsidR="00000000" w:rsidDel="00000000" w:rsidP="00000000" w:rsidRDefault="00000000" w:rsidRPr="00000000" w14:paraId="0000005B">
      <w:pPr>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VINCENT JELANI, URL: </w:t>
      </w:r>
      <w:hyperlink r:id="rId2">
        <w:r w:rsidDel="00000000" w:rsidR="00000000" w:rsidRPr="00000000">
          <w:rPr>
            <w:color w:val="000000"/>
            <w:sz w:val="20"/>
            <w:szCs w:val="20"/>
            <w:u w:val="single"/>
            <w:rtl w:val="0"/>
          </w:rPr>
          <w:t xml:space="preserve">https://scholar.harvard.edu/vincentjelani/publications/‘’gig”-economy-workers-taking-more-risk#targetText=Gig%20workers%20are%20increasingly%20taking,the%20control%20of%20the%20worker.</w:t>
        </w:r>
      </w:hyperlink>
      <w:r w:rsidDel="00000000" w:rsidR="00000000" w:rsidRPr="00000000">
        <w:rPr>
          <w:rtl w:val="0"/>
        </w:rPr>
      </w:r>
    </w:p>
  </w:footnote>
  <w:footnote w:id="2">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Gig Economy, Data Hub. URL: </w:t>
      </w:r>
      <w:hyperlink r:id="rId3">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https://www.gigeconomydata.org/basics/how-many-gig-workers-are-there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3">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Ibidem. </w:t>
      </w:r>
    </w:p>
  </w:footnote>
  <w:footnote w:id="4">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Ibidem </w:t>
      </w:r>
    </w:p>
  </w:footnote>
  <w:footnote w:id="5">
    <w:p w:rsidR="00000000" w:rsidDel="00000000" w:rsidP="00000000" w:rsidRDefault="00000000" w:rsidRPr="00000000" w14:paraId="0000005F">
      <w:pPr>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Ibidem, reference to MBO Partners, “The State of Independence in America”(Herno , VA: 2018), </w:t>
      </w:r>
      <w:hyperlink r:id="rId4">
        <w:r w:rsidDel="00000000" w:rsidR="00000000" w:rsidRPr="00000000">
          <w:rPr>
            <w:color w:val="000000"/>
            <w:sz w:val="20"/>
            <w:szCs w:val="20"/>
            <w:u w:val="single"/>
            <w:rtl w:val="0"/>
          </w:rPr>
          <w:t xml:space="preserve">http://www.mbopartners.com/state-of-independe</w:t>
        </w:r>
      </w:hyperlink>
      <w:r w:rsidDel="00000000" w:rsidR="00000000" w:rsidRPr="00000000">
        <w:rPr>
          <w:color w:val="000000"/>
          <w:sz w:val="20"/>
          <w:szCs w:val="20"/>
          <w:rtl w:val="0"/>
        </w:rPr>
        <w:t xml:space="preserve">  </w:t>
      </w:r>
    </w:p>
  </w:footnote>
  <w:footnote w:id="6">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Anat Bracha and Mary A. Burke, senior economists at the Boston Fed. URL: </w:t>
      </w:r>
      <w:hyperlink r:id="rId5">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https://www.axios.com/gig-economy-employment-economic-data-effect-d8ef97ff-1774-4223-9fd8-d50510fb3c9f.html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7">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Wiley Professionals, URL: </w:t>
      </w:r>
      <w:hyperlink r:id="rId6">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https://www.wiley.com/network/professionals/business-trends/10-facts-about-the-gig-economy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8">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Ibidem </w:t>
      </w:r>
    </w:p>
  </w:footnote>
  <w:footnote w:id="9">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Ibidem </w:t>
      </w:r>
    </w:p>
  </w:footnote>
  <w:footnote w:id="10">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Gig Economy, URL: </w:t>
      </w:r>
      <w:hyperlink r:id="rId7">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https://www.gigeconomydata.org/basics/how-many-gig-workers-are-there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1">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Preston 2017, Singer-Vine and O’Donovan 2016, Earnest 2017, Hall et al 2017, Castillo et al 2017: all referenced in “The Economics of Ride-Hailing: Driver Revenue, Expenses and Taxes” by Zoepf, Stephen and others, from Center for Automotive Research at Stanford, Stanford University Graduate School of Business. URL: </w:t>
      </w:r>
      <w:hyperlink r:id="rId8">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https://orfe.princeton.edu/~alaink/SmartDrivingCars/PDFs/Zoepf_The%20Economics%20of%20RideHialing_OriginalPdfFeb2018.pdf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2">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Ibídem</w:t>
      </w:r>
    </w:p>
  </w:footnote>
  <w:footnote w:id="13">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Vary, but infrequently more than $ 1.00/mile. </w:t>
      </w:r>
    </w:p>
  </w:footnote>
  <w:footnote w:id="14">
    <w:p w:rsidR="00000000" w:rsidDel="00000000" w:rsidP="00000000" w:rsidRDefault="00000000" w:rsidRPr="00000000" w14:paraId="00000068">
      <w:pPr>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Closely 90% have depreciation costs fewer than $0.10/mile</w:t>
      </w:r>
    </w:p>
  </w:footnote>
  <w:footnote w:id="15">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minor exceed % .50/mile. </w:t>
      </w:r>
    </w:p>
  </w:footnote>
  <w:footnote w:id="16">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Preston 2017, Singer-Vine and O’Donovan 2016, Earnest 2017, Hall et al 2017, Castillo et al 2017: all referenced in “The Economics of Ride-Hailing: Driver Revenue, Expenses and Taxes” by Zoepf, Stephen and others, from Center for Automotive Research at Stanford, Stanford University Graduate School of Business. URL: </w:t>
      </w:r>
      <w:hyperlink r:id="rId9">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https://orfe.princeton.edu/~alaink/SmartDrivingCars/PDFs/Zoepf_The%20Economics%20of%20RideHialing_OriginalPdfFeb2018.pdf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2005"/>
      <w:numFmt w:val="bullet"/>
      <w:lvlText w:val="-"/>
      <w:lvlJc w:val="left"/>
      <w:pPr>
        <w:ind w:left="1440" w:hanging="360"/>
      </w:pPr>
      <w:rPr>
        <w:rFonts w:ascii="Calibri" w:cs="Calibri" w:eastAsia="Calibri" w:hAnsi="Calibri"/>
      </w:rPr>
    </w:lvl>
    <w:lvl w:ilvl="2">
      <w:start w:val="1"/>
      <w:numFmt w:val="lowerRoman"/>
      <w:lvlText w:val="(%3)"/>
      <w:lvlJc w:val="left"/>
      <w:pPr>
        <w:ind w:left="2520" w:hanging="72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mckinsey.com/~/media/McKinsey/Featured%20Insights/Employment%20and%20Growth/Independent%20work%20Choice%20necessity%20and%20the%20gig%20economy/Independent-Work-Choice-necessity-and-the-gig-economy-Executive-Summary.ashx" TargetMode="External"/><Relationship Id="rId2" Type="http://schemas.openxmlformats.org/officeDocument/2006/relationships/hyperlink" Target="https://scholar.harvard.edu/vincentjelani/publications/%E2%80%98%E2%80%99gig%E2%80%9D-economy-workers-taking-more-risk#targetText=Gig%20workers%20are%20increasingly%20taking,the%20control%20of%20the%20worker." TargetMode="External"/><Relationship Id="rId3" Type="http://schemas.openxmlformats.org/officeDocument/2006/relationships/hyperlink" Target="https://www.gigeconomydata.org/basics/how-many-gig-workers-are-there" TargetMode="External"/><Relationship Id="rId4" Type="http://schemas.openxmlformats.org/officeDocument/2006/relationships/hyperlink" Target="http://www.mbopartners.com/state-of-independe" TargetMode="External"/><Relationship Id="rId9" Type="http://schemas.openxmlformats.org/officeDocument/2006/relationships/hyperlink" Target="https://orfe.princeton.edu/~alaink/SmartDrivingCars/PDFs/Zoepf_The%20Economics%20of%20RideHialing_OriginalPdfFeb2018.pdf" TargetMode="External"/><Relationship Id="rId5" Type="http://schemas.openxmlformats.org/officeDocument/2006/relationships/hyperlink" Target="https://www.axios.com/gig-economy-employment-economic-data-effect-d8ef97ff-1774-4223-9fd8-d50510fb3c9f.html" TargetMode="External"/><Relationship Id="rId6" Type="http://schemas.openxmlformats.org/officeDocument/2006/relationships/hyperlink" Target="https://www.wiley.com/network/professionals/business-trends/10-facts-about-the-gig-economy" TargetMode="External"/><Relationship Id="rId7" Type="http://schemas.openxmlformats.org/officeDocument/2006/relationships/hyperlink" Target="https://www.gigeconomydata.org/basics/how-many-gig-workers-are-there" TargetMode="External"/><Relationship Id="rId8" Type="http://schemas.openxmlformats.org/officeDocument/2006/relationships/hyperlink" Target="https://orfe.princeton.edu/~alaink/SmartDrivingCars/PDFs/Zoepf_The%20Economics%20of%20RideHialing_OriginalPdfFeb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