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للعزل الكامل،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على الحوادث الحقيقية،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ننشر الأهداف التي لم تتحقق من أول مرة وكيف عالجناها، ولا ندّعي تفوقًا كمّيًا. الشبكات الحقيقية مُعاد بناؤها جزئيًا من التقارير العامة، والنتائج تشير إلى أن الأنظمة يمكن أن تحتوي الهجوم دون أن توقف خدماتها متى وصل التنبيه.</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[3]</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[4]</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[5]</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[7]</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[8]</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[9]</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[10][11]</w:t>
            </w:r>
            <w:r>
              <w:rPr>
                <w:rFonts w:ascii="Arial" w:hAnsi="Arial" w:cs="Arial"/>
                <w:sz w:val="22"/>
                <w:szCs w:val="22"/>
                <w:rtl/>
              </w:rPr>
              <w:t xml:space="preserve">، وتُحل على الحاسوب الكمّي بخوارزمية </w:t>
            </w:r>
            <w:r>
              <w:rPr>
                <w:rFonts w:ascii="Arial" w:hAnsi="Arial" w:cs="Arial"/>
                <w:sz w:val="22"/>
                <w:szCs w:val="22"/>
              </w:rPr>
              <w:t xml:space="preserve">QAOA [12]</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[13]</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[14]</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[16]</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وأضاف تسجيل </w:t>
            </w:r>
            <w:r>
              <w:rPr>
                <w:rFonts w:ascii="Arial" w:hAnsi="Arial" w:cs="Arial"/>
                <w:sz w:val="22"/>
                <w:szCs w:val="22"/>
              </w:rPr>
              <w:t xml:space="preserve">v12</w:t>
            </w:r>
            <w:r>
              <w:rPr>
                <w:rFonts w:ascii="Arial" w:hAnsi="Arial" w:cs="Arial"/>
                <w:sz w:val="22"/>
                <w:szCs w:val="22"/>
                <w:rtl/>
              </w:rPr>
              <w:t xml:space="preserve"> حساب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[8]</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[15]</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[15]</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وكل نتيجة منشورة كما هي مع معالجتها.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w:t>
            </w:r>
            <w:r>
              <w:rPr>
                <w:rFonts w:ascii="Arial" w:hAnsi="Arial" w:cs="Arial"/>
                <w:sz w:val="22"/>
                <w:szCs w:val="22"/>
              </w:rPr>
              <w:t xml:space="preserve">v2–v13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[16])</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[17]</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[18]</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135</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 (اسم المحرّك آنذاك).</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الكوربس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 + 1)</w:t>
            </w:r>
            <w:r>
              <w:rPr>
                <w:rFonts w:ascii="Arial" w:hAnsi="Arial" w:cs="Arial"/>
                <w:sz w:val="22"/>
                <w:szCs w:val="22"/>
                <w:rtl/>
              </w:rPr>
              <w:t xml:space="preserve">.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[17]</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الذكي (</w:t>
            </w:r>
            <w:r>
              <w:rPr>
                <w:rFonts w:ascii="Arial" w:hAnsi="Arial" w:cs="Arial"/>
                <w:sz w:val="22"/>
                <w:szCs w:val="22"/>
              </w:rPr>
              <w:t xml:space="preserve">158</w:t>
            </w:r>
            <w:r>
              <w:rPr>
                <w:rFonts w:ascii="Arial" w:hAnsi="Arial" w:cs="Arial"/>
                <w:sz w:val="22"/>
                <w:szCs w:val="22"/>
                <w:rtl/>
              </w:rPr>
              <w:t xml:space="preserve"> مقابل </w:t>
            </w:r>
            <w:r>
              <w:rPr>
                <w:rFonts w:ascii="Arial" w:hAnsi="Arial" w:cs="Arial"/>
                <w:sz w:val="22"/>
                <w:szCs w:val="22"/>
              </w:rPr>
              <w:t xml:space="preserve">61</w:t>
            </w:r>
            <w:r>
              <w:rPr>
                <w:rFonts w:ascii="Arial" w:hAnsi="Arial" w:cs="Arial"/>
                <w:sz w:val="22"/>
                <w:szCs w:val="22"/>
                <w:rtl/>
              </w:rPr>
              <w:t xml:space="preserve"> من </w:t>
            </w:r>
            <w:r>
              <w:rPr>
                <w:rFonts w:ascii="Arial" w:hAnsi="Arial" w:cs="Arial"/>
                <w:sz w:val="22"/>
                <w:szCs w:val="22"/>
              </w:rPr>
              <w:t xml:space="preserve">500)</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ننشر كل نتيجة كما هي،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[8][9]</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[15]</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[4]</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[19]</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ثلاثة عشر إصدارًا (</w:t>
            </w:r>
            <w:r>
              <w:rPr>
                <w:rFonts w:ascii="Arial" w:hAnsi="Arial" w:cs="Arial"/>
                <w:sz w:val="22"/>
                <w:szCs w:val="22"/>
              </w:rPr>
              <w:t xml:space="preserve">v1–v13)</w:t>
            </w:r>
            <w:r>
              <w:rPr>
                <w:rFonts w:ascii="Arial" w:hAnsi="Arial" w:cs="Arial"/>
                <w:sz w:val="22"/>
                <w:szCs w:val="22"/>
                <w:rtl/>
              </w:rPr>
              <w:t xml:space="preserve">، منها اثنا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135</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الأشهر الثلاثة القادمة:</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الخطط المستقبلية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المهاجم الذكي:</w:t>
            </w:r>
            <w:r>
              <w:rPr>
                <w:rFonts w:ascii="Arial" w:hAnsi="Arial" w:cs="Arial"/>
                <w:sz w:val="22"/>
                <w:szCs w:val="22"/>
                <w:rtl/>
              </w:rPr>
              <w:t xml:space="preserve"> مهاجم يعرف الكود ويزوّر مصادر التنبيه لعزل أنظمة سليمة (</w:t>
            </w:r>
            <w:r>
              <w:rPr>
                <w:rFonts w:ascii="Arial" w:hAnsi="Arial" w:cs="Arial"/>
                <w:sz w:val="22"/>
                <w:szCs w:val="22"/>
              </w:rPr>
              <w:t xml:space="preserve">Weaponization)</w:t>
            </w:r>
            <w:r>
              <w:rPr>
                <w:rFonts w:ascii="Arial" w:hAnsi="Arial" w:cs="Arial"/>
                <w:sz w:val="22"/>
                <w:szCs w:val="22"/>
                <w:rtl/>
              </w:rPr>
              <w:t xml:space="preserve"> أو إخفاء جهاز مخترق (</w:t>
            </w:r>
            <w:r>
              <w:rPr>
                <w:rFonts w:ascii="Arial" w:hAnsi="Arial" w:cs="Arial"/>
                <w:sz w:val="22"/>
                <w:szCs w:val="22"/>
              </w:rPr>
              <w:t xml:space="preserve">Hiding)</w:t>
            </w:r>
            <w:r>
              <w:rPr>
                <w:rFonts w:ascii="Arial" w:hAnsi="Arial" w:cs="Arial"/>
                <w:sz w:val="22"/>
                <w:szCs w:val="22"/>
                <w:rtl/>
              </w:rPr>
              <w:t xml:space="preserve">؛ نقارن خمس طرق لدمج ثلاثة مصادر لكل جهاز (</w:t>
            </w:r>
            <w:r>
              <w:rPr>
                <w:rFonts w:ascii="Arial" w:hAnsi="Arial" w:cs="Arial"/>
                <w:sz w:val="22"/>
                <w:szCs w:val="22"/>
              </w:rPr>
              <w:t xml:space="preserve">Sensor Fusion)</w:t>
            </w:r>
            <w:r>
              <w:rPr>
                <w:rFonts w:ascii="Arial" w:hAnsi="Arial" w:cs="Arial"/>
                <w:sz w:val="22"/>
                <w:szCs w:val="22"/>
                <w:rtl/>
              </w:rPr>
              <w:t xml:space="preserve">، ونحسب لكل قرار «نصف القطر المضمون»: أقل عدد مصادر يلزم المهاجم تزويرها لتغيير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مع خسارة ثنائية الاتجاه تمنع «أسوأ حالة» من التحول إلى عزل مفرط يخدم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ACRS Box</w:t>
            </w:r>
            <w:r>
              <w:rPr>
                <w:rFonts w:ascii="Arial" w:hAnsi="Arial" w:cs="Arial"/>
                <w:b/>
                <w:bCs/>
                <w:sz w:val="22"/>
                <w:szCs w:val="22"/>
                <w:rtl/>
              </w:rPr>
              <w:t xml:space="preserve">:</w:t>
            </w:r>
            <w:r>
              <w:rPr>
                <w:rFonts w:ascii="Arial" w:hAnsi="Arial" w:cs="Arial"/>
                <w:sz w:val="22"/>
                <w:szCs w:val="22"/>
                <w:rtl/>
              </w:rPr>
              <w:t xml:space="preserve"> </w:t>
            </w:r>
            <w:r>
              <w:rPr>
                <w:rFonts w:ascii="Arial" w:hAnsi="Arial" w:cs="Arial"/>
                <w:sz w:val="22"/>
                <w:szCs w:val="22"/>
              </w:rPr>
              <w:t xml:space="preserve">Raspberry Pi 5</w:t>
            </w:r>
            <w:r>
              <w:rPr>
                <w:rFonts w:ascii="Arial" w:hAnsi="Arial" w:cs="Arial"/>
                <w:sz w:val="22"/>
                <w:szCs w:val="22"/>
                <w:rtl/>
              </w:rPr>
              <w:t xml:space="preserve"> بشاشة لمس وجدار </w:t>
            </w:r>
            <w:r>
              <w:rPr>
                <w:rFonts w:ascii="Arial" w:hAnsi="Arial" w:cs="Arial"/>
                <w:sz w:val="22"/>
                <w:szCs w:val="22"/>
              </w:rPr>
              <w:t xml:space="preserve">nftables</w:t>
            </w:r>
            <w:r>
              <w:rPr>
                <w:rFonts w:ascii="Arial" w:hAnsi="Arial" w:cs="Arial"/>
                <w:sz w:val="22"/>
                <w:szCs w:val="22"/>
                <w:rtl/>
              </w:rPr>
              <w:t xml:space="preserve"> حقيقي، وثلاثة أجهزة ضحية </w:t>
            </w:r>
            <w:r>
              <w:rPr>
                <w:rFonts w:ascii="Arial" w:hAnsi="Arial" w:cs="Arial"/>
                <w:sz w:val="22"/>
                <w:szCs w:val="22"/>
              </w:rPr>
              <w:t xml:space="preserve">Pico W</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في غلاف مقصوص بالليزر.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Microsoft. (n.d.). Automatic attack disruption in Microsoft Defender; Exclude assets from automated response in attack disruption. Microsoft Learn. Retrieved October 14, 2026, from https://learn.microsoft.com/en-us/defender-xdr/automatic-attack-disruption-exclusions</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[4]</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val="0"/>
              <w:spacing w:after="50" w:line="276" w:lineRule="auto"/>
              <w:ind w:left="520" w:hanging="520"/>
              <w:jc w:val="left"/>
            </w:pPr>
            <w:r>
              <w:rPr>
                <w:rFonts w:ascii="Arial" w:hAnsi="Arial" w:cs="Arial"/>
                <w:sz w:val="19"/>
                <w:szCs w:val="19"/>
              </w:rPr>
              <w:t xml:space="preserve">[5]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[6]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[7]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[8]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[9]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[14]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[15]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[16]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[17]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[18]  MITRE Center for Threat-Informed Defense. (2024). Attack Flow (v2) and the Attack Flow corpus [Software and data]. https://github.com/center-for-threat-informed-defense/attack-flow</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[19]</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المساعدة في صياغة هذا النموذج.</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كل النتائج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