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Safety-Gated Minimum-Action Containment of Cyberattacks in Networked Systems,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100 – 300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اصطناعية، لكن النتائج تشير إلى أن الأنظمة يمكن أن تحتوي الهجوم دون أن توقف خدماتها.</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يحقق نموذج احتواء تكيفي ببوابة سلامة احتواءً مقاربًا للعزل الكامل، مع إيقاف خدمات أقل، ودون كسر أي قاعدة 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المنهجية تجريبية مقارنة: نفس سيناريوهات الهجوم تُعطى لعدة طرق قرار، وتُقيَّم كلها بالمعايير نفسها المسجلة مسبقًا.</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12</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v10</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500"/>
              <w:gridCol w:w="4800"/>
              <w:gridCol w:w="3200"/>
            </w:tblGrid>
            <w:tr>
              <w:trPr>
                <w:tblHeader/>
                <w:cantSplit/>
              </w:trPr>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طريقة القرار: العزل الكامل، العزل الكامل الآمن، قاعدة لكل جهاز، قاعدة التجزئة البسيطة، </w:t>
                  </w:r>
                  <w:r>
                    <w:rPr>
                      <w:rFonts w:ascii="Arial" w:hAnsi="Arial" w:cs="Arial"/>
                      <w:sz w:val="19"/>
                      <w:szCs w:val="19"/>
                    </w:rPr>
                    <w:t xml:space="preserve">ACRS v5/v7/v9</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4–6</w:t>
                  </w:r>
                  <w:r>
                    <w:rPr>
                      <w:rFonts w:ascii="Arial" w:hAnsi="Arial" w:cs="Arial"/>
                      <w:sz w:val="19"/>
                      <w:szCs w:val="19"/>
                      <w:rtl/>
                    </w:rPr>
                    <w:t xml:space="preserve"> طرق على نفس السيناريوهات</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w:t>
                  </w:r>
                  <w:r>
                    <w:rPr>
                      <w:rFonts w:ascii="Arial" w:hAnsi="Arial" w:cs="Arial"/>
                      <w:sz w:val="19"/>
                      <w:szCs w:val="19"/>
                    </w:rPr>
                    <w:t xml:space="preserve">22</w:t>
                  </w:r>
                  <w:r>
                    <w:rPr>
                      <w:rFonts w:ascii="Arial" w:hAnsi="Arial" w:cs="Arial"/>
                      <w:sz w:val="19"/>
                      <w:szCs w:val="19"/>
                      <w:rtl/>
                    </w:rPr>
                    <w:t xml:space="preserve">، </w:t>
                  </w:r>
                  <w:r>
                    <w:rPr>
                      <w:rFonts w:ascii="Arial" w:hAnsi="Arial" w:cs="Arial"/>
                      <w:sz w:val="19"/>
                      <w:szCs w:val="19"/>
                    </w:rPr>
                    <w:t xml:space="preserve">42</w:t>
                  </w:r>
                  <w:r>
                    <w:rPr>
                      <w:rFonts w:ascii="Arial" w:hAnsi="Arial" w:cs="Arial"/>
                      <w:sz w:val="19"/>
                      <w:szCs w:val="19"/>
                      <w:rtl/>
                    </w:rPr>
                    <w:t xml:space="preserve">، </w:t>
                  </w:r>
                  <w:r>
                    <w:rPr>
                      <w:rFonts w:ascii="Arial" w:hAnsi="Arial" w:cs="Arial"/>
                      <w:sz w:val="19"/>
                      <w:szCs w:val="19"/>
                    </w:rPr>
                    <w:t xml:space="preserve">45</w:t>
                  </w:r>
                  <w:r>
                    <w:rPr>
                      <w:rFonts w:ascii="Arial" w:hAnsi="Arial" w:cs="Arial"/>
                      <w:sz w:val="19"/>
                      <w:szCs w:val="19"/>
                      <w:rtl/>
                    </w:rPr>
                    <w:t xml:space="preserve">، </w:t>
                  </w:r>
                  <w:r>
                    <w:rPr>
                      <w:rFonts w:ascii="Arial" w:hAnsi="Arial" w:cs="Arial"/>
                      <w:sz w:val="19"/>
                      <w:szCs w:val="19"/>
                    </w:rPr>
                    <w:t xml:space="preserve">48</w:t>
                  </w:r>
                  <w:r>
                    <w:rPr>
                      <w:rFonts w:ascii="Arial" w:hAnsi="Arial" w:cs="Arial"/>
                      <w:sz w:val="19"/>
                      <w:szCs w:val="19"/>
                      <w:rtl/>
                    </w:rPr>
                    <w:t xml:space="preserve">، </w:t>
                  </w:r>
                  <w:r>
                    <w:rPr>
                      <w:rFonts w:ascii="Arial" w:hAnsi="Arial" w:cs="Arial"/>
                      <w:sz w:val="19"/>
                      <w:szCs w:val="19"/>
                    </w:rPr>
                    <w:t xml:space="preserve">60</w:t>
                  </w:r>
                  <w:r>
                    <w:rPr>
                      <w:rFonts w:ascii="Arial" w:hAnsi="Arial" w:cs="Arial"/>
                      <w:sz w:val="19"/>
                      <w:szCs w:val="19"/>
                      <w:rtl/>
                    </w:rPr>
                    <w:t xml:space="preserve">، </w:t>
                  </w:r>
                  <w:r>
                    <w:rPr>
                      <w:rFonts w:ascii="Arial" w:hAnsi="Arial" w:cs="Arial"/>
                      <w:sz w:val="19"/>
                      <w:szCs w:val="19"/>
                    </w:rPr>
                    <w:t xml:space="preserve">202</w:t>
                  </w:r>
                  <w:r>
                    <w:rPr>
                      <w:rFonts w:ascii="Arial" w:hAnsi="Arial" w:cs="Arial"/>
                      <w:sz w:val="19"/>
                      <w:szCs w:val="19"/>
                      <w:rtl/>
                    </w:rPr>
                    <w:t xml:space="preserve">، </w:t>
                  </w:r>
                  <w:r>
                    <w:rPr>
                      <w:rFonts w:ascii="Arial" w:hAnsi="Arial" w:cs="Arial"/>
                      <w:sz w:val="19"/>
                      <w:szCs w:val="19"/>
                    </w:rPr>
                    <w:t xml:space="preserve">240</w:t>
                  </w:r>
                  <w:r>
                    <w:rPr>
                      <w:rFonts w:ascii="Arial" w:hAnsi="Arial" w:cs="Arial"/>
                      <w:sz w:val="19"/>
                      <w:szCs w:val="19"/>
                      <w:rtl/>
                    </w:rPr>
                    <w:t xml:space="preserve"> جهازًا</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300"/>
              <w:gridCol w:w="5200"/>
            </w:tblGrid>
            <w:tr>
              <w:trPr>
                <w:tblHeader/>
                <w:cantSplit/>
              </w:trPr>
              <w:tc>
                <w:tcPr>
                  <w:tcW w:w="4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128</w:t>
                  </w:r>
                  <w:r>
                    <w:rPr>
                      <w:rFonts w:ascii="Arial" w:hAnsi="Arial" w:cs="Arial"/>
                      <w:sz w:val="19"/>
                      <w:szCs w:val="19"/>
                      <w:rtl/>
                    </w:rPr>
                    <w:t xml:space="preserve"> اختبارًا آليًا تعمل مع كل تغيير</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(صحية وصناعية ومصرفية وجامعية)،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200"/>
              <w:gridCol w:w="1700"/>
              <w:gridCol w:w="1300"/>
              <w:gridCol w:w="1300"/>
              <w:gridCol w:w="13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1" name="Figure 1" descr="شكل 1: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a.png"/>
                          <pic:cNvPicPr/>
                        </pic:nvPicPr>
                        <pic:blipFill>
                          <a:blip r:embed="rIdHassanFig1"/>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4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000"/>
              <w:gridCol w:w="900"/>
              <w:gridCol w:w="1100"/>
              <w:gridCol w:w="2000"/>
              <w:gridCol w:w="1100"/>
              <w:gridCol w:w="1300"/>
            </w:tblGrid>
            <w:tr>
              <w:trPr>
                <w:tblHeader/>
                <w:cantSplit/>
              </w:trPr>
              <w:tc>
                <w:tcPr>
                  <w:tcW w:w="3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600"/>
              <w:gridCol w:w="4900"/>
            </w:tblGrid>
            <w:tr>
              <w:trPr>
                <w:tblHeader/>
                <w:cantSplit/>
              </w:trPr>
              <w:tc>
                <w:tcPr>
                  <w:tcW w:w="46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700"/>
              <w:gridCol w:w="1900"/>
              <w:gridCol w:w="1500"/>
              <w:gridCol w:w="17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700"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2" name="Figure 2" descr="شكل 2: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b.png"/>
                          <pic:cNvPicPr/>
                        </pic:nvPicPr>
                        <pic:blipFill>
                          <a:blip r:embed="rIdHassanFig2"/>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الشبكات والهجمات اصطناعية، والأوزان افتراضات تصميم.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بل يفترض تنبيهات قادمة من أدوات الكشف،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وتسعة إصدارات موثقة (</w:t>
            </w:r>
            <w:r>
              <w:rPr>
                <w:rFonts w:ascii="Arial" w:hAnsi="Arial" w:cs="Arial"/>
                <w:sz w:val="22"/>
                <w:szCs w:val="22"/>
              </w:rPr>
              <w:t xml:space="preserve">v1–v9)</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128</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3800"/>
              <w:gridCol w:w="1900"/>
              <w:gridCol w:w="15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وتُشغَّل مرة واحدة بكود مقفل</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a.png"/><Relationship Id="rIdHassanFig2"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عهود الزهراني</dc:creator>
  <cp:keywords/>
  <dc:description/>
  <cp:lastModifiedBy/>
  <cp:revision>1</cp:revision>
  <dcterms:created xsi:type="dcterms:W3CDTF">2026-09-08T04:43:00Z</dcterms:created>
</cp:coreProperties>
</file>