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91%</w:t>
            </w:r>
            <w:r>
              <w:rPr>
                <w:rFonts w:ascii="Arial" w:hAnsi="Arial" w:cs="Arial"/>
                <w:sz w:val="22"/>
                <w:szCs w:val="22"/>
                <w:rtl/>
              </w:rPr>
              <w:t xml:space="preserve">،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المقياس يُحسب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 (156</w:t>
                  </w:r>
                  <w:r>
                    <w:rPr>
                      <w:rFonts w:ascii="Arial" w:hAnsi="Arial" w:cs="Arial"/>
                      <w:sz w:val="19"/>
                      <w:szCs w:val="19"/>
                      <w:rtl/>
                    </w:rPr>
                    <w:t xml:space="preserve"> كيوبت)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w:t>
            </w:r>
            <w:r>
              <w:rPr>
                <w:rFonts w:ascii="Arial" w:hAnsi="Arial" w:cs="Arial"/>
                <w:sz w:val="22"/>
                <w:szCs w:val="22"/>
                <w:rtl/>
              </w:rPr>
              <w:t xml:space="preserve"> وشهادات الكونغرس </w:t>
            </w:r>
            <w:r>
              <w:rPr>
                <w:rFonts w:ascii="Arial" w:hAnsi="Arial" w:cs="Arial"/>
                <w:sz w:val="22"/>
                <w:szCs w:val="22"/>
              </w:rPr>
              <w:t xml:space="preserve">[18]</w:t>
            </w:r>
            <w:r>
              <w:rPr>
                <w:rFonts w:ascii="Arial" w:hAnsi="Arial" w:cs="Arial"/>
                <w:sz w:val="22"/>
                <w:szCs w:val="22"/>
                <w:rtl/>
              </w:rPr>
              <w:t xml:space="preserve">):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[19]</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كل جدول.</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2.2</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9.2)</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لكنه 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تُحسب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فشل هدف الاحتواء التلقائي (</w:t>
            </w:r>
            <w:r>
              <w:rPr>
                <w:rFonts w:ascii="Arial" w:hAnsi="Arial" w:cs="Arial"/>
                <w:sz w:val="22"/>
                <w:szCs w:val="22"/>
              </w:rPr>
              <w:t xml:space="preserve">31%</w:t>
            </w:r>
            <w:r>
              <w:rPr>
                <w:rFonts w:ascii="Arial" w:hAnsi="Arial" w:cs="Arial"/>
                <w:sz w:val="22"/>
                <w:szCs w:val="22"/>
                <w:rtl/>
              </w:rPr>
              <w:t xml:space="preserve"> فقط)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فشل هدف «المناعة» بحادثة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بتسجيل مسبق (</w:t>
            </w:r>
            <w:r>
              <w:rPr>
                <w:rFonts w:ascii="Arial" w:hAnsi="Arial" w:cs="Arial"/>
                <w:sz w:val="22"/>
                <w:szCs w:val="22"/>
              </w:rPr>
              <w:t xml:space="preserve">v1–v13)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251"/>
              <w:gridCol w:w="3720"/>
              <w:gridCol w:w="1860"/>
              <w:gridCol w:w="1468"/>
            </w:tblGrid>
            <w:tr>
              <w:trPr>
                <w:tblHeader/>
                <w:cantSplit/>
              </w:trPr>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72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[18]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[19]  MITRE Center for Threat-Informed Defense. (2024). Attack Flow (v2) and the Attack Flow corpus [Software and data]. https://github.com/center-for-threat-informed-defense/attack-flow</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