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بنينا في هذا البحث نظام </w:t>
            </w:r>
            <w:r>
              <w:rPr>
                <w:rFonts w:ascii="Arial" w:hAnsi="Arial" w:cs="Arial"/>
                <w:sz w:val="22"/>
                <w:szCs w:val="22"/>
              </w:rPr>
              <w:t xml:space="preserve">ACRS</w:t>
            </w:r>
            <w:r>
              <w:rPr>
                <w:rFonts w:ascii="Arial" w:hAnsi="Arial" w:cs="Arial"/>
                <w:sz w:val="22"/>
                <w:szCs w:val="22"/>
                <w:rtl/>
              </w:rPr>
              <w:t xml:space="preserve">، وصغنا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اختارت أقل إجراء يكفي لإيقاف الهجوم: عزل، أو تقييد، أو «تجزئة» للخادم الحرج أبقت خدمته تعمل. ومرّ كل قرار عبر بوابة سلامة مستقلة عن المُحسِّن أحالت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من الإصدار الثاني 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للعزل الكامل (وبعد موافقة البشر على الإحالات: </w:t>
            </w:r>
            <w:r>
              <w:rPr>
                <w:rFonts w:ascii="Arial" w:hAnsi="Arial" w:cs="Arial"/>
                <w:sz w:val="22"/>
                <w:szCs w:val="22"/>
              </w:rPr>
              <w:t xml:space="preserve">6</w:t>
            </w:r>
            <w:r>
              <w:rPr>
                <w:rFonts w:ascii="Arial" w:hAnsi="Arial" w:cs="Arial"/>
                <w:sz w:val="22"/>
                <w:szCs w:val="22"/>
                <w:rtl/>
              </w:rPr>
              <w:t xml:space="preserve"> مقابل </w:t>
            </w:r>
            <w:r>
              <w:rPr>
                <w:rFonts w:ascii="Arial" w:hAnsi="Arial" w:cs="Arial"/>
                <w:sz w:val="22"/>
                <w:szCs w:val="22"/>
              </w:rPr>
              <w:t xml:space="preserve">273</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جديدة)، ودون أي فشل صامت. وتأكدت على بيانات جديدة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شغّلنا المحرّك على هجمات حقيقية موثقة (</w:t>
            </w:r>
            <w:r>
              <w:rPr>
                <w:rFonts w:ascii="Arial" w:hAnsi="Arial" w:cs="Arial"/>
                <w:sz w:val="22"/>
                <w:szCs w:val="22"/>
              </w:rPr>
              <w:t xml:space="preserve">8</w:t>
            </w:r>
            <w:r>
              <w:rPr>
                <w:rFonts w:ascii="Arial" w:hAnsi="Arial" w:cs="Arial"/>
                <w:sz w:val="22"/>
                <w:szCs w:val="22"/>
                <w:rtl/>
              </w:rPr>
              <w:t xml:space="preserve"> حوادث منها </w:t>
            </w:r>
            <w:r>
              <w:rPr>
                <w:rFonts w:ascii="Arial" w:hAnsi="Arial" w:cs="Arial"/>
                <w:sz w:val="22"/>
                <w:szCs w:val="22"/>
              </w:rPr>
              <w:t xml:space="preserve">WannaCry</w:t>
            </w:r>
            <w:r>
              <w:rPr>
                <w:rFonts w:ascii="Arial" w:hAnsi="Arial" w:cs="Arial"/>
                <w:sz w:val="22"/>
                <w:szCs w:val="22"/>
                <w:rtl/>
              </w:rPr>
              <w:t xml:space="preserve">، ثم </w:t>
            </w:r>
            <w:r>
              <w:rPr>
                <w:rFonts w:ascii="Arial" w:hAnsi="Arial" w:cs="Arial"/>
                <w:sz w:val="22"/>
                <w:szCs w:val="22"/>
              </w:rPr>
              <w:t xml:space="preserve">75</w:t>
            </w:r>
            <w:r>
              <w:rPr>
                <w:rFonts w:ascii="Arial" w:hAnsi="Arial" w:cs="Arial"/>
                <w:sz w:val="22"/>
                <w:szCs w:val="22"/>
                <w:rtl/>
              </w:rPr>
              <w:t xml:space="preserve"> حادثة من مصادر مفتوحة) فكشفت أن المُحسِّن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على الحوادث الثماني التي صُمّمت الأرضية بعدها، و</w:t>
            </w:r>
            <w:r>
              <w:rPr>
                <w:rFonts w:ascii="Arial" w:hAnsi="Arial" w:cs="Arial"/>
                <w:sz w:val="22"/>
                <w:szCs w:val="22"/>
              </w:rPr>
              <w:t xml:space="preserve">91%</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في </w:t>
            </w:r>
            <w:r>
              <w:rPr>
                <w:rFonts w:ascii="Arial" w:hAnsi="Arial" w:cs="Arial"/>
                <w:sz w:val="22"/>
                <w:szCs w:val="22"/>
              </w:rPr>
              <w:t xml:space="preserve">75</w:t>
            </w:r>
            <w:r>
              <w:rPr>
                <w:rFonts w:ascii="Arial" w:hAnsi="Arial" w:cs="Arial"/>
                <w:sz w:val="22"/>
                <w:szCs w:val="22"/>
                <w:rtl/>
              </w:rPr>
              <w:t xml:space="preserve"> حادثة جديدة،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على السيناريوهات التركيبية و</w:t>
            </w:r>
            <w:r>
              <w:rPr>
                <w:rFonts w:ascii="Arial" w:hAnsi="Arial" w:cs="Arial"/>
                <w:sz w:val="22"/>
                <w:szCs w:val="22"/>
              </w:rPr>
              <w:t xml:space="preserve">118</w:t>
            </w:r>
            <w:r>
              <w:rPr>
                <w:rFonts w:ascii="Arial" w:hAnsi="Arial" w:cs="Arial"/>
                <w:sz w:val="22"/>
                <w:szCs w:val="22"/>
                <w:rtl/>
              </w:rPr>
              <w:t xml:space="preserve"> (فوق هدف </w:t>
            </w:r>
            <w:r>
              <w:rPr>
                <w:rFonts w:ascii="Arial" w:hAnsi="Arial" w:cs="Arial"/>
                <w:sz w:val="22"/>
                <w:szCs w:val="22"/>
              </w:rPr>
              <w:t xml:space="preserve">50)</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حقيقي وواقعي،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الكمّية،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الجزء المترابط من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 ونشرنا الأهداف التي لم تتحقق من أول مرة وكيف عالجناها، ولم ندّعِ تفوقًا كمّيًا. وكانت الشبكات الحقيقية مُعاد بناؤها جزئيًا من التقارير العامة، وأشارت النتائج إلى أن الأنظمة يمكن أن تحتوي الهجوم دون أن توقف خدماتها متى وصل التنبيه.</w:t>
            </w:r>
          </w:p>
        </w:tc>
      </w:tr>
    </w:tbl>
    <w:p w14:paraId="2CE2A5FE" w14:textId="77777777" w:rsidR="00645407" w:rsidRPr="00A57A3A" w:rsidRDefault="00645407">
      <w:pPr>
        <w:spacing w:after="200"/>
        <w:rPr>
          <w:rFonts w:ascii="Vazirmatn" w:hAnsi="Vazirmatn" w:cs="Vazirmatn"/>
        </w:rPr>
      </w:pPr>
    </w:p>
    <w:p w14:paraId="0E06C28A"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[3]</w:t>
            </w:r>
            <w:r>
              <w:rPr>
                <w:rFonts w:ascii="Arial" w:hAnsi="Arial" w:cs="Arial"/>
                <w:sz w:val="22"/>
                <w:szCs w:val="22"/>
                <w:rtl/>
              </w:rPr>
              <w:t xml:space="preserve">. ولا يختار النظام إجراءً وسطًا حسب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المُحسِّن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[4]</w:t>
            </w:r>
            <w:r>
              <w:rPr>
                <w:rFonts w:ascii="Arial" w:hAnsi="Arial" w:cs="Arial"/>
                <w:sz w:val="22"/>
                <w:szCs w:val="22"/>
                <w:rtl/>
              </w:rPr>
              <w:t xml:space="preserve">.</w:t>
            </w:r>
          </w:p>
        </w:tc>
      </w:tr>
    </w:tbl>
    <w:p w14:paraId="0F0B8A19" w14:textId="77777777" w:rsidR="00645407" w:rsidRPr="00A57A3A" w:rsidRDefault="00645407">
      <w:pPr>
        <w:spacing w:after="200"/>
        <w:rPr>
          <w:rFonts w:ascii="Vazirmatn" w:hAnsi="Vazirmatn" w:cs="Vazirmatn"/>
        </w:rPr>
      </w:pPr>
    </w:p>
    <w:p w14:paraId="48BD9AB4"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[5]</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[7]</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يوازن تلقائيًا بين الاحتواء وتوقف الخدمات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[8]</w:t>
            </w:r>
            <w:r>
              <w:rPr>
                <w:rFonts w:ascii="Arial" w:hAnsi="Arial" w:cs="Arial"/>
                <w:sz w:val="22"/>
                <w:szCs w:val="22"/>
                <w:rtl/>
              </w:rPr>
              <w:t xml:space="preserve">. هذا أقرب عمل كلاسيكي، لكنه بلا قيود سلامة صارمة، ولا تحقق مستقل بعد المُحسِّن،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[9]</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[10][11]</w:t>
            </w:r>
            <w:r>
              <w:rPr>
                <w:rFonts w:ascii="Arial" w:hAnsi="Arial" w:cs="Arial"/>
                <w:sz w:val="22"/>
                <w:szCs w:val="22"/>
                <w:rtl/>
              </w:rPr>
              <w:t xml:space="preserve">، وتُحل على الحاسوب الكمّي بخوارزمية </w:t>
            </w:r>
            <w:r>
              <w:rPr>
                <w:rFonts w:ascii="Arial" w:hAnsi="Arial" w:cs="Arial"/>
                <w:sz w:val="22"/>
                <w:szCs w:val="22"/>
              </w:rPr>
              <w:t xml:space="preserve">QAOA [12]</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[13]</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[14]</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المُحسِّن،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[16]</w:t>
            </w:r>
            <w:r>
              <w:rPr>
                <w:rFonts w:ascii="Arial" w:hAnsi="Arial" w:cs="Arial"/>
                <w:sz w:val="22"/>
                <w:szCs w:val="22"/>
                <w:rtl/>
              </w:rPr>
              <w:t xml:space="preserve">.</w:t>
            </w:r>
          </w:p>
        </w:tc>
      </w:tr>
    </w:tbl>
    <w:p w14:paraId="6765CA79" w14:textId="77777777" w:rsidR="00645407" w:rsidRPr="00A57A3A" w:rsidRDefault="00645407">
      <w:pPr>
        <w:spacing w:after="200"/>
        <w:rPr>
          <w:rFonts w:ascii="Vazirmatn" w:hAnsi="Vazirmatn" w:cs="Vazirmatn"/>
        </w:rPr>
      </w:pPr>
    </w:p>
    <w:p w14:paraId="47156896"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(القسم </w:t>
            </w:r>
            <w:r>
              <w:rPr>
                <w:rFonts w:ascii="Arial" w:hAnsi="Arial" w:cs="Arial"/>
                <w:sz w:val="22"/>
                <w:szCs w:val="22"/>
              </w:rPr>
              <w:t xml:space="preserve">2)</w:t>
            </w:r>
            <w:r>
              <w:rPr>
                <w:rFonts w:ascii="Arial" w:hAnsi="Arial" w:cs="Arial"/>
                <w:sz w:val="22"/>
                <w:szCs w:val="22"/>
                <w:rtl/>
              </w:rPr>
              <w:t xml:space="preserve"> يتحول هنا إلى فرضيات قابلة للقياس.</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(مثبتة في </w:t>
            </w:r>
            <w:r>
              <w:rPr>
                <w:rFonts w:ascii="Arial" w:hAnsi="Arial" w:cs="Arial"/>
                <w:sz w:val="22"/>
                <w:szCs w:val="22"/>
              </w:rPr>
              <w:t xml:space="preserve">Git</w:t>
            </w:r>
            <w:r>
              <w:rPr>
                <w:rFonts w:ascii="Arial" w:hAnsi="Arial" w:cs="Arial"/>
                <w:sz w:val="22"/>
                <w:szCs w:val="22"/>
                <w:rtl/>
              </w:rPr>
              <w:t xml:space="preserve"> قبل نتائجها من </w:t>
            </w:r>
            <w:r>
              <w:rPr>
                <w:rFonts w:ascii="Arial" w:hAnsi="Arial" w:cs="Arial"/>
                <w:sz w:val="22"/>
                <w:szCs w:val="22"/>
              </w:rPr>
              <w:t xml:space="preserve">v2</w:t>
            </w:r>
            <w:r>
              <w:rPr>
                <w:rFonts w:ascii="Arial" w:hAnsi="Arial" w:cs="Arial"/>
                <w:sz w:val="22"/>
                <w:szCs w:val="22"/>
                <w:rtl/>
              </w:rPr>
              <w:t xml:space="preserve"> فصاعدًا):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أي في </w:t>
            </w:r>
            <w:r>
              <w:rPr>
                <w:rFonts w:ascii="Arial" w:hAnsi="Arial" w:cs="Arial"/>
                <w:sz w:val="22"/>
                <w:szCs w:val="22"/>
              </w:rPr>
              <w:t xml:space="preserve">95%</w:t>
            </w:r>
            <w:r>
              <w:rPr>
                <w:rFonts w:ascii="Arial" w:hAnsi="Arial" w:cs="Arial"/>
                <w:sz w:val="22"/>
                <w:szCs w:val="22"/>
                <w:rtl/>
              </w:rPr>
              <w:t xml:space="preserve"> من الحالات).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وأضاف تسجيل </w:t>
            </w:r>
            <w:r>
              <w:rPr>
                <w:rFonts w:ascii="Arial" w:hAnsi="Arial" w:cs="Arial"/>
                <w:sz w:val="22"/>
                <w:szCs w:val="22"/>
              </w:rPr>
              <w:t xml:space="preserve">v12</w:t>
            </w:r>
            <w:r>
              <w:rPr>
                <w:rFonts w:ascii="Arial" w:hAnsi="Arial" w:cs="Arial"/>
                <w:sz w:val="22"/>
                <w:szCs w:val="22"/>
                <w:rtl/>
              </w:rPr>
              <w:t xml:space="preserve"> حساب الخدمات المتوقفة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14:paraId="57EE2260" w14:textId="77777777" w:rsidR="00645407" w:rsidRPr="00A57A3A" w:rsidRDefault="00645407">
      <w:pPr>
        <w:spacing w:after="200"/>
        <w:rPr>
          <w:rFonts w:ascii="Vazirmatn" w:hAnsi="Vazirmatn" w:cs="Vazirmatn"/>
        </w:rPr>
      </w:pPr>
    </w:p>
    <w:p w14:paraId="65A9B4E8"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[8]</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[15]</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ورفع هذا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للجزء المترابط من قرار </w:t>
            </w:r>
            <w:r>
              <w:rPr>
                <w:rFonts w:ascii="Arial" w:hAnsi="Arial" w:cs="Arial"/>
                <w:sz w:val="22"/>
                <w:szCs w:val="22"/>
              </w:rPr>
              <w:t xml:space="preserve">240</w:t>
            </w:r>
            <w:r>
              <w:rPr>
                <w:rFonts w:ascii="Arial" w:hAnsi="Arial" w:cs="Arial"/>
                <w:sz w:val="22"/>
                <w:szCs w:val="22"/>
                <w:rtl/>
              </w:rPr>
              <w:t xml:space="preserve"> جهازًا مع قيود السلامة، بينما بلغت نسبة التكلفة في </w:t>
            </w:r>
            <w:r>
              <w:rPr>
                <w:rFonts w:ascii="Arial" w:hAnsi="Arial" w:cs="Arial"/>
                <w:sz w:val="22"/>
                <w:szCs w:val="22"/>
              </w:rPr>
              <w:t xml:space="preserve">[15]</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على مسألة واحدة من </w:t>
            </w:r>
            <w:r>
              <w:rPr>
                <w:rFonts w:ascii="Arial" w:hAnsi="Arial" w:cs="Arial"/>
                <w:sz w:val="22"/>
                <w:szCs w:val="22"/>
              </w:rPr>
              <w:t xml:space="preserve">110</w:t>
            </w:r>
            <w:r>
              <w:rPr>
                <w:rFonts w:ascii="Arial" w:hAnsi="Arial" w:cs="Arial"/>
                <w:sz w:val="22"/>
                <w:szCs w:val="22"/>
                <w:rtl/>
              </w:rPr>
              <w:t xml:space="preserve"> كيوبت، وأكبر مسائلنا </w:t>
            </w:r>
            <w:r>
              <w:rPr>
                <w:rFonts w:ascii="Arial" w:hAnsi="Arial" w:cs="Arial"/>
                <w:sz w:val="22"/>
                <w:szCs w:val="22"/>
              </w:rPr>
              <w:t xml:space="preserve">16</w:t>
            </w:r>
            <w:r>
              <w:rPr>
                <w:rFonts w:ascii="Arial" w:hAnsi="Arial" w:cs="Arial"/>
                <w:sz w:val="22"/>
                <w:szCs w:val="22"/>
                <w:rtl/>
              </w:rPr>
              <w:t xml:space="preserve"> كيوبت.</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وكل نتيجة منشورة كما هي مع معالجتها.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رقمي (نسخة محاكاة) يرفض الخطة المعطوبة، شهادة موقّعة بخوارزمية ما بعد الكمّ، وطرفية لا تنفّذ أمرًا يكسر قاعدة).</w:t>
            </w:r>
          </w:p>
        </w:tc>
      </w:tr>
    </w:tbl>
    <w:p w14:paraId="048A6C67" w14:textId="77777777" w:rsidR="00645407" w:rsidRPr="00A57A3A" w:rsidRDefault="00645407">
      <w:pPr>
        <w:spacing w:after="200"/>
        <w:rPr>
          <w:rFonts w:ascii="Vazirmatn" w:hAnsi="Vazirmatn" w:cs="Vazirmatn"/>
        </w:rPr>
      </w:pPr>
    </w:p>
    <w:p w14:paraId="4D6D54DA"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15</w:t>
            </w:r>
            <w:r>
              <w:rPr>
                <w:rFonts w:ascii="Arial" w:hAnsi="Arial" w:cs="Arial"/>
                <w:sz w:val="22"/>
                <w:szCs w:val="22"/>
                <w:rtl/>
              </w:rPr>
              <w:t xml:space="preserve"> تسجيلًا: </w:t>
            </w:r>
            <w:r>
              <w:rPr>
                <w:rFonts w:ascii="Arial" w:hAnsi="Arial" w:cs="Arial"/>
                <w:sz w:val="22"/>
                <w:szCs w:val="22"/>
              </w:rPr>
              <w:t xml:space="preserve">v2–v13</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غير المُنفّذ بعد؛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وتُقارن بها أربع مجموعات تجريبية على السيناريوهات نفسها. تعريفات: «العزل الكامل الآمن» يعزل كل مخترق يجوز عزله؛ «القاعدة البسيطة» تعزل المخترق غير الحرج وتجزّئ كل خادم حرج مخترق أو متصل بمخترق؛ «الفشل الصامت» هجوم لم يُحتوَ ولم يُحَل للبشر.</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16</w:t>
                  </w:r>
                  <w:r>
                    <w:rPr>
                      <w:rFonts w:ascii="Arial" w:hAnsi="Arial" w:cs="Arial"/>
                      <w:sz w:val="19"/>
                      <w:szCs w:val="19"/>
                      <w:rtl/>
                    </w:rPr>
                    <w:t xml:space="preserve"> لحظة حقيقية)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[16])</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[17]</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وخطة محاكاة خصوم موثقة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[18]</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وتحت الحمل: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141</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 (المنزل)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 (اسم المحرّك آنذاك).</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قبل الموافقات، و</w:t>
            </w:r>
            <w:r>
              <w:rPr>
                <w:rFonts w:ascii="Arial" w:hAnsi="Arial" w:cs="Arial"/>
                <w:sz w:val="22"/>
                <w:szCs w:val="22"/>
              </w:rPr>
              <w:t xml:space="preserve">6</w:t>
            </w:r>
            <w:r>
              <w:rPr>
                <w:rFonts w:ascii="Arial" w:hAnsi="Arial" w:cs="Arial"/>
                <w:sz w:val="22"/>
                <w:szCs w:val="22"/>
                <w:rtl/>
              </w:rPr>
              <w:t xml:space="preserve"> مقابل </w:t>
            </w:r>
            <w:r>
              <w:rPr>
                <w:rFonts w:ascii="Arial" w:hAnsi="Arial" w:cs="Arial"/>
                <w:sz w:val="22"/>
                <w:szCs w:val="22"/>
              </w:rPr>
              <w:t xml:space="preserve">273</w:t>
            </w:r>
            <w:r>
              <w:rPr>
                <w:rFonts w:ascii="Arial" w:hAnsi="Arial" w:cs="Arial"/>
                <w:sz w:val="22"/>
                <w:szCs w:val="22"/>
                <w:rtl/>
              </w:rPr>
              <w:t xml:space="preserve"> بعدها (</w:t>
            </w:r>
            <w:r>
              <w:rPr>
                <w:rFonts w:ascii="Arial" w:hAnsi="Arial" w:cs="Arial"/>
                <w:sz w:val="22"/>
                <w:szCs w:val="22"/>
              </w:rPr>
              <w:t xml:space="preserve">253</w:t>
            </w:r>
            <w:r>
              <w:rPr>
                <w:rFonts w:ascii="Arial" w:hAnsi="Arial" w:cs="Arial"/>
                <w:sz w:val="22"/>
                <w:szCs w:val="22"/>
                <w:rtl/>
              </w:rPr>
              <w:t xml:space="preserve"> سلسلة جديدة).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المُحسِّن</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التنبيهات المزوّرة (</w:t>
                  </w:r>
                  <w:r>
                    <w:rPr>
                      <w:rFonts w:ascii="Arial" w:hAnsi="Arial" w:cs="Arial"/>
                      <w:sz w:val="19"/>
                      <w:szCs w:val="19"/>
                    </w:rPr>
                    <w:t xml:space="preserve">v9</w:t>
                  </w:r>
                  <w:r>
                    <w:rPr>
                      <w:rFonts w:ascii="Arial" w:hAnsi="Arial" w:cs="Arial"/>
                      <w:sz w:val="19"/>
                      <w:szCs w:val="19"/>
                      <w:rtl/>
                    </w:rPr>
                    <w:t xml:space="preserve">، مستشعر شبكة مستقل)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المجموعة المفتوحة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المُحسِّن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 + 1)</w:t>
            </w:r>
            <w:r>
              <w:rPr>
                <w:rFonts w:ascii="Arial" w:hAnsi="Arial" w:cs="Arial"/>
                <w:sz w:val="22"/>
                <w:szCs w:val="22"/>
                <w:rtl/>
              </w:rPr>
              <w:t xml:space="preserve">.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[17]</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المُحسِّن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ننشر كل نتيجة كما هي،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0.55–0.56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المجموعة المفتوحة.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[3]</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[8][9]</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[15]</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[4]</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[19]</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منها ثلاثة عشر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وخطة محاكاة خصوم موثقة، وتنبيهات مزوّرة، ونواة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w:t>
            </w:r>
            <w:r>
              <w:rPr>
                <w:rFonts w:ascii="Arial" w:hAnsi="Arial" w:cs="Arial"/>
                <w:sz w:val="22"/>
                <w:szCs w:val="22"/>
              </w:rPr>
              <w:t xml:space="preserve">141</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إنعاش، ومناعة بعد الحادثة، وتوقيع </w:t>
            </w:r>
            <w:r>
              <w:rPr>
                <w:rFonts w:ascii="Arial" w:hAnsi="Arial" w:cs="Arial"/>
                <w:sz w:val="22"/>
                <w:szCs w:val="22"/>
              </w:rPr>
              <w:t xml:space="preserve">ML-DSA</w:t>
            </w:r>
            <w:r>
              <w:rPr>
                <w:rFonts w:ascii="Arial" w:hAnsi="Arial" w:cs="Arial"/>
                <w:sz w:val="22"/>
                <w:szCs w:val="22"/>
                <w:rtl/>
              </w:rPr>
              <w:t xml:space="preserve">؛ وعُدّة اختبار أعمى مقفلة؛ وواجهة عرض تفاعلية بعطل وإنعاش حي؛ والتأهل لمعرض سيف </w:t>
            </w:r>
            <w:r>
              <w:rPr>
                <w:rFonts w:ascii="Arial" w:hAnsi="Arial" w:cs="Arial"/>
                <w:sz w:val="22"/>
                <w:szCs w:val="22"/>
              </w:rPr>
              <w:t xml:space="preserve">2026</w:t>
            </w:r>
            <w:r>
              <w:rPr>
                <w:rFonts w:ascii="Arial" w:hAnsi="Arial" w:cs="Arial"/>
                <w:sz w:val="22"/>
                <w:szCs w:val="22"/>
                <w:rtl/>
              </w:rPr>
              <w:t xml:space="preserve">. وفي </w:t>
            </w:r>
            <w:r>
              <w:rPr>
                <w:rFonts w:ascii="Arial" w:hAnsi="Arial" w:cs="Arial"/>
                <w:sz w:val="22"/>
                <w:szCs w:val="22"/>
              </w:rPr>
              <w:t xml:space="preserve">v14</w:t>
            </w:r>
            <w:r>
              <w:rPr>
                <w:rFonts w:ascii="Arial" w:hAnsi="Arial" w:cs="Arial"/>
                <w:sz w:val="22"/>
                <w:szCs w:val="22"/>
                <w:rtl/>
              </w:rPr>
              <w:t xml:space="preserve"> كشف إثبات رياضي (</w:t>
            </w:r>
            <w:r>
              <w:rPr>
                <w:rFonts w:ascii="Arial" w:hAnsi="Arial" w:cs="Arial"/>
                <w:sz w:val="22"/>
                <w:szCs w:val="22"/>
              </w:rPr>
              <w:t xml:space="preserve">MILP</w:t>
            </w:r>
            <w:r>
              <w:rPr>
                <w:rFonts w:ascii="Arial" w:hAnsi="Arial" w:cs="Arial"/>
                <w:sz w:val="22"/>
                <w:szCs w:val="22"/>
                <w:rtl/>
              </w:rPr>
              <w:t xml:space="preserve"> و</w:t>
            </w:r>
            <w:r>
              <w:rPr>
                <w:rFonts w:ascii="Arial" w:hAnsi="Arial" w:cs="Arial"/>
                <w:sz w:val="22"/>
                <w:szCs w:val="22"/>
              </w:rPr>
              <w:t xml:space="preserve">Z3)</w:t>
            </w:r>
            <w:r>
              <w:rPr>
                <w:rFonts w:ascii="Arial" w:hAnsi="Arial" w:cs="Arial"/>
                <w:sz w:val="22"/>
                <w:szCs w:val="22"/>
                <w:rtl/>
              </w:rPr>
              <w:t xml:space="preserve"> ثغرة حقيقية في طبقة الخدمة فأُصلحت، ثم ثبتت خصائص السلامة الخمس لكل المدخلات على خمس شبكات، بلا أي اختلاف بين النموذج والكود في </w:t>
            </w:r>
            <w:r>
              <w:rPr>
                <w:rFonts w:ascii="Arial" w:hAnsi="Arial" w:cs="Arial"/>
                <w:sz w:val="22"/>
                <w:szCs w:val="22"/>
              </w:rPr>
              <w:t xml:space="preserve">2,000,000</w:t>
            </w:r>
            <w:r>
              <w:rPr>
                <w:rFonts w:ascii="Arial" w:hAnsi="Arial" w:cs="Arial"/>
                <w:sz w:val="22"/>
                <w:szCs w:val="22"/>
                <w:rtl/>
              </w:rPr>
              <w:t xml:space="preserve"> مدخل.</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الأشهر الثلاثة القادمة:</w:t>
            </w:r>
          </w:p>
          <w:tbl>
            <w:tblPr>
              <w:bidiVisual/>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5000"/>
              <w:gridCol w:w="20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ومحوّل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ومراجعة مختص للأوزان</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ومتطوعان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 مهاجم يعرف الكود ويزوّر مصادر التنبيه ضد خمس طرق دمج (قيد التشغيل)</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مسبقًا: </w:t>
                  </w:r>
                  <w:r>
                    <w:rPr>
                      <w:rFonts w:ascii="Arial" w:hAnsi="Arial" w:cs="Arial"/>
                      <w:sz w:val="19"/>
                      <w:szCs w:val="19"/>
                    </w:rPr>
                    <w:t xml:space="preserve">p95</w:t>
                  </w:r>
                  <w:r>
                    <w:rPr>
                      <w:rFonts w:ascii="Arial" w:hAnsi="Arial" w:cs="Arial"/>
                      <w:sz w:val="19"/>
                      <w:szCs w:val="19"/>
                      <w:rtl/>
                    </w:rPr>
                    <w:t xml:space="preserve"> القطع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 sets)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w:t>
                  </w:r>
                  <w:r>
                    <w:rPr>
                      <w:rFonts w:ascii="Arial" w:hAnsi="Arial" w:cs="Arial"/>
                      <w:sz w:val="19"/>
                      <w:szCs w:val="19"/>
                    </w:rPr>
                    <w:t xml:space="preserve">v12</w:t>
                  </w:r>
                  <w:r>
                    <w:rPr>
                      <w:rFonts w:ascii="Arial" w:hAnsi="Arial" w:cs="Arial"/>
                      <w:sz w:val="19"/>
                      <w:szCs w:val="19"/>
                      <w:rtl/>
                    </w:rPr>
                    <w:t xml:space="preserve"> على المصنع ≥ </w:t>
                  </w:r>
                  <w:r>
                    <w:rPr>
                      <w:rFonts w:ascii="Arial" w:hAnsi="Arial" w:cs="Arial"/>
                      <w:sz w:val="19"/>
                      <w:szCs w:val="19"/>
                    </w:rPr>
                    <w:t xml:space="preserve">0.80</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سيف (الرياض)</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بيانات شبكة عامة (</w:t>
                  </w:r>
                  <w:r>
                    <w:rPr>
                      <w:rFonts w:ascii="Arial" w:hAnsi="Arial" w:cs="Arial"/>
                      <w:sz w:val="19"/>
                      <w:szCs w:val="19"/>
                    </w:rPr>
                    <w:t xml:space="preserve">CIC-IDS2017)</w:t>
                  </w:r>
                  <w:r>
                    <w:rPr>
                      <w:rFonts w:ascii="Arial" w:hAnsi="Arial" w:cs="Arial"/>
                      <w:sz w:val="19"/>
                      <w:szCs w:val="19"/>
                      <w:rtl/>
                    </w:rPr>
                    <w:t xml:space="preserve"> وكتابة الورقة</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(كل هدف يُسجَّل مسبقًا قبل تشغيله):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صياغة Γ-</w:t>
            </w:r>
            <w:r>
              <w:rPr>
                <w:rFonts w:ascii="Arial" w:hAnsi="Arial" w:cs="Arial"/>
                <w:b/>
                <w:bCs/>
                <w:sz w:val="22"/>
                <w:szCs w:val="22"/>
              </w:rPr>
              <w:t xml:space="preserve">robust</w:t>
            </w:r>
            <w:r>
              <w:rPr>
                <w:rFonts w:ascii="Arial" w:hAnsi="Arial" w:cs="Arial"/>
                <w:b/>
                <w:bCs/>
                <w:sz w:val="22"/>
                <w:szCs w:val="22"/>
                <w:rtl/>
              </w:rPr>
              <w:t xml:space="preserve">:</w:t>
            </w:r>
            <w:r>
              <w:rPr>
                <w:rFonts w:ascii="Arial" w:hAnsi="Arial" w:cs="Arial"/>
                <w:sz w:val="22"/>
                <w:szCs w:val="22"/>
                <w:rtl/>
              </w:rPr>
              <w:t xml:space="preserve"> المهاجم يتحكم في قراءات عدد محدد من الأجهزة، دون أن تتحول «أسوأ حالة» إلى عزل مفرط.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معماريتان كمّيتان:</w:t>
            </w:r>
            <w:r>
              <w:rPr>
                <w:rFonts w:ascii="Arial" w:hAnsi="Arial" w:cs="Arial"/>
                <w:sz w:val="22"/>
                <w:szCs w:val="22"/>
                <w:rtl/>
              </w:rPr>
              <w:t xml:space="preserve"> الشبكة كاملة على </w:t>
            </w:r>
            <w:r>
              <w:rPr>
                <w:rFonts w:ascii="Arial" w:hAnsi="Arial" w:cs="Arial"/>
                <w:sz w:val="22"/>
                <w:szCs w:val="22"/>
              </w:rPr>
              <w:t xml:space="preserve">IBM Heron</w:t>
            </w:r>
            <w:r>
              <w:rPr>
                <w:rFonts w:ascii="Arial" w:hAnsi="Arial" w:cs="Arial"/>
                <w:sz w:val="22"/>
                <w:szCs w:val="22"/>
                <w:rtl/>
              </w:rPr>
              <w:t xml:space="preserve"> بخوارزمية </w:t>
            </w:r>
            <w:r>
              <w:rPr>
                <w:rFonts w:ascii="Arial" w:hAnsi="Arial" w:cs="Arial"/>
                <w:sz w:val="22"/>
                <w:szCs w:val="22"/>
              </w:rPr>
              <w:t xml:space="preserve">QAOA</w:t>
            </w:r>
            <w:r>
              <w:rPr>
                <w:rFonts w:ascii="Arial" w:hAnsi="Arial" w:cs="Arial"/>
                <w:sz w:val="22"/>
                <w:szCs w:val="22"/>
                <w:rtl/>
              </w:rPr>
              <w:t xml:space="preserve"> بقيود أصلية (</w:t>
            </w:r>
            <w:r>
              <w:rPr>
                <w:rFonts w:ascii="Arial" w:hAnsi="Arial" w:cs="Arial"/>
                <w:sz w:val="22"/>
                <w:szCs w:val="22"/>
              </w:rPr>
              <w:t xml:space="preserve">Fire Opal)</w:t>
            </w:r>
            <w:r>
              <w:rPr>
                <w:rFonts w:ascii="Arial" w:hAnsi="Arial" w:cs="Arial"/>
                <w:sz w:val="22"/>
                <w:szCs w:val="22"/>
                <w:rtl/>
              </w:rPr>
              <w:t xml:space="preserve">، وعلى الذرات المحايدة بصياغة </w:t>
            </w:r>
            <w:r>
              <w:rPr>
                <w:rFonts w:ascii="Arial" w:hAnsi="Arial" w:cs="Arial"/>
                <w:sz w:val="22"/>
                <w:szCs w:val="22"/>
              </w:rPr>
              <w:t xml:space="preserve">MWIS</w:t>
            </w:r>
            <w:r>
              <w:rPr>
                <w:rFonts w:ascii="Arial" w:hAnsi="Arial" w:cs="Arial"/>
                <w:sz w:val="22"/>
                <w:szCs w:val="22"/>
                <w:rtl/>
              </w:rPr>
              <w:t xml:space="preserve">، مع السعي لحاسوب أرامكو/</w:t>
            </w:r>
            <w:r>
              <w:rPr>
                <w:rFonts w:ascii="Arial" w:hAnsi="Arial" w:cs="Arial"/>
                <w:sz w:val="22"/>
                <w:szCs w:val="22"/>
              </w:rPr>
              <w:t xml:space="preserve">Pasqal</w:t>
            </w:r>
            <w:r>
              <w:rPr>
                <w:rFonts w:ascii="Arial" w:hAnsi="Arial" w:cs="Arial"/>
                <w:sz w:val="22"/>
                <w:szCs w:val="22"/>
                <w:rtl/>
              </w:rPr>
              <w:t xml:space="preserve"> في المملكة.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التنبؤي:</w:t>
            </w:r>
            <w:r>
              <w:rPr>
                <w:rFonts w:ascii="Arial" w:hAnsi="Arial" w:cs="Arial"/>
                <w:sz w:val="22"/>
                <w:szCs w:val="22"/>
                <w:rtl/>
              </w:rPr>
              <w:t xml:space="preserve"> قطع مسارات الهجوم المتوقعة قبل وصول المهاجم، وتحديث القرار عبر الزمن (</w:t>
            </w:r>
            <w:r>
              <w:rPr>
                <w:rFonts w:ascii="Arial" w:hAnsi="Arial" w:cs="Arial"/>
                <w:sz w:val="22"/>
                <w:szCs w:val="22"/>
              </w:rPr>
              <w:t xml:space="preserve">QUBO-MPC)</w:t>
            </w:r>
            <w:r>
              <w:rPr>
                <w:rFonts w:ascii="Arial" w:hAnsi="Arial" w:cs="Arial"/>
                <w:sz w:val="22"/>
                <w:szCs w:val="22"/>
                <w:rtl/>
              </w:rPr>
              <w:t xml:space="preserve">، والتقييم على بيئة </w:t>
            </w:r>
            <w:r>
              <w:rPr>
                <w:rFonts w:ascii="Arial" w:hAnsi="Arial" w:cs="Arial"/>
                <w:sz w:val="22"/>
                <w:szCs w:val="22"/>
              </w:rPr>
              <w:t xml:space="preserve">CAGE 4</w:t>
            </w:r>
            <w:r>
              <w:rPr>
                <w:rFonts w:ascii="Arial" w:hAnsi="Arial" w:cs="Arial"/>
                <w:sz w:val="22"/>
                <w:szCs w:val="22"/>
                <w:rtl/>
              </w:rPr>
              <w:t xml:space="preserve"> مقارنةً بالحلول الفائزة.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التحقق المستقل والنشر:</w:t>
            </w:r>
            <w:r>
              <w:rPr>
                <w:rFonts w:ascii="Arial" w:hAnsi="Arial" w:cs="Arial"/>
                <w:sz w:val="22"/>
                <w:szCs w:val="22"/>
                <w:rtl/>
              </w:rPr>
              <w:t xml:space="preserve"> فريق </w:t>
            </w:r>
            <w:r>
              <w:rPr>
                <w:rFonts w:ascii="Arial" w:hAnsi="Arial" w:cs="Arial"/>
                <w:sz w:val="22"/>
                <w:szCs w:val="22"/>
              </w:rPr>
              <w:t xml:space="preserve">Red Team</w:t>
            </w:r>
            <w:r>
              <w:rPr>
                <w:rFonts w:ascii="Arial" w:hAnsi="Arial" w:cs="Arial"/>
                <w:sz w:val="22"/>
                <w:szCs w:val="22"/>
                <w:rtl/>
              </w:rPr>
              <w:t xml:space="preserve">، ومراجعة أكاديمية، ونسخة </w:t>
            </w:r>
            <w:r>
              <w:rPr>
                <w:rFonts w:ascii="Arial" w:hAnsi="Arial" w:cs="Arial"/>
                <w:sz w:val="22"/>
                <w:szCs w:val="22"/>
              </w:rPr>
              <w:t xml:space="preserve">Zenodo DOI</w:t>
            </w:r>
            <w:r>
              <w:rPr>
                <w:rFonts w:ascii="Arial" w:hAnsi="Arial" w:cs="Arial"/>
                <w:sz w:val="22"/>
                <w:szCs w:val="22"/>
                <w:rtl/>
              </w:rPr>
              <w:t xml:space="preserve">، وورقة أولية.</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Microsoft. (n.d.). Automatic attack disruption in Microsoft Defender; Exclude assets from automated response in attack disruption. Microsoft Learn. Retrieved October 14, 2026, from https://learn.microsoft.com/en-us/defender-xdr/automatic-attack-disruption-exclusions</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[4]</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 https://cdn.nca.gov.sa/api/files/public/upload/11bb8f2d-706a-4f18-80f1-40d620ebd845_GECC-.pdf</w:t>
            </w:r>
          </w:p>
          <w:p>
            <w:pPr>
              <w:bidi w:val="0"/>
              <w:spacing w:after="50" w:line="276" w:lineRule="auto"/>
              <w:ind w:left="520" w:hanging="520"/>
              <w:jc w:val="left"/>
            </w:pPr>
            <w:r>
              <w:rPr>
                <w:rFonts w:ascii="Arial" w:hAnsi="Arial" w:cs="Arial"/>
                <w:sz w:val="19"/>
                <w:szCs w:val="19"/>
              </w:rPr>
              <w:t xml:space="preserve">[5]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[6]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[7]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[8]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[9]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[10]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[11]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[12]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[13]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[14]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[15]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[16]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[17]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[18]  MITRE Center for Threat-Informed Defense. (2024). Attack Flow (v2) and the Attack Flow corpus [Software and data]. https://github.com/center-for-threat-informed-defense/attack-flow</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[19]</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المساعدة في صياغة هذا النموذج.</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كل النتائج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