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7B1C" w14:textId="77777777" w:rsidR="00CD538E" w:rsidRDefault="00000000">
      <w:pPr>
        <w:pStyle w:val="Heading1"/>
      </w:pPr>
      <w:bookmarkStart w:id="0" w:name="Xeb48edd0c337e8783e2abaf21d640fa8643667a"/>
      <w:r>
        <w:t>One-Class SVM for PFAS–MOF Descriptor Modeling</w:t>
      </w:r>
    </w:p>
    <w:p w14:paraId="2FA5BF35" w14:textId="77777777" w:rsidR="00CD538E" w:rsidRDefault="00000000">
      <w:pPr>
        <w:pStyle w:val="Heading2"/>
      </w:pPr>
      <w:bookmarkStart w:id="1" w:name="problem-framing"/>
      <w:r>
        <w:t>Problem framing</w:t>
      </w:r>
    </w:p>
    <w:p w14:paraId="04A52C86" w14:textId="77777777" w:rsidR="00CD5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Goal:</w:t>
      </w:r>
      <w:r>
        <w:t xml:space="preserve"> Learn the </w:t>
      </w:r>
      <w:r>
        <w:rPr>
          <w:i/>
          <w:iCs/>
        </w:rPr>
        <w:t>region</w:t>
      </w:r>
      <w:r>
        <w:t xml:space="preserve"> of descriptor space occupied by known PFAS-adsorbing MOFs (positive-only data).</w:t>
      </w:r>
    </w:p>
    <w:p w14:paraId="4FA9C31B" w14:textId="77777777" w:rsidR="00CD5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Why OC-SVM:</w:t>
      </w:r>
      <w:r>
        <w:t xml:space="preserve"> No reliable negatives or scalar target; need a soft boundary around positives.</w:t>
      </w:r>
    </w:p>
    <w:p w14:paraId="3EAEC604" w14:textId="77777777" w:rsidR="00CD538E" w:rsidRDefault="00000000">
      <w:r>
        <w:pict w14:anchorId="177CAC3D">
          <v:rect id="_x0000_i1097" style="width:0;height:1.5pt" o:hralign="center" o:hrstd="t" o:hr="t"/>
        </w:pict>
      </w:r>
    </w:p>
    <w:p w14:paraId="51EF4DCF" w14:textId="77777777" w:rsidR="00CD538E" w:rsidRDefault="00000000">
      <w:pPr>
        <w:pStyle w:val="Heading2"/>
      </w:pPr>
      <w:bookmarkStart w:id="2" w:name="descriptor-set"/>
      <w:bookmarkEnd w:id="1"/>
      <w:r>
        <w:t>Descriptor set</w:t>
      </w:r>
    </w:p>
    <w:p w14:paraId="6488ED8A" w14:textId="77777777" w:rsidR="00CD538E" w:rsidRDefault="00000000">
      <w:pPr>
        <w:pStyle w:val="FirstParagraph"/>
      </w:pPr>
      <w:r>
        <w:rPr>
          <w:b/>
          <w:bCs/>
        </w:rPr>
        <w:t>Core (chemist-prioritized):</w:t>
      </w:r>
    </w:p>
    <w:p w14:paraId="740DC42F" w14:textId="77777777" w:rsidR="00CD538E" w:rsidRDefault="00000000">
      <w:pPr>
        <w:pStyle w:val="Compact"/>
        <w:numPr>
          <w:ilvl w:val="0"/>
          <w:numId w:val="3"/>
        </w:numPr>
      </w:pPr>
      <w:r>
        <w:t>PLD (Å)</w:t>
      </w:r>
    </w:p>
    <w:p w14:paraId="4F2C4558" w14:textId="77777777" w:rsidR="00CD538E" w:rsidRDefault="00000000">
      <w:pPr>
        <w:pStyle w:val="Compact"/>
        <w:numPr>
          <w:ilvl w:val="0"/>
          <w:numId w:val="3"/>
        </w:numPr>
      </w:pPr>
      <w:r>
        <w:t>LCD (Å)</w:t>
      </w:r>
    </w:p>
    <w:p w14:paraId="706D2DFD" w14:textId="77777777" w:rsidR="00CD538E" w:rsidRDefault="00000000">
      <w:pPr>
        <w:pStyle w:val="Compact"/>
        <w:numPr>
          <w:ilvl w:val="0"/>
          <w:numId w:val="3"/>
        </w:numPr>
      </w:pPr>
      <w:r>
        <w:t>Geometric Surface Area (m²/g)</w:t>
      </w:r>
    </w:p>
    <w:p w14:paraId="278A27C4" w14:textId="77777777" w:rsidR="00CD538E" w:rsidRDefault="00000000">
      <w:pPr>
        <w:pStyle w:val="Compact"/>
        <w:numPr>
          <w:ilvl w:val="0"/>
          <w:numId w:val="3"/>
        </w:numPr>
      </w:pPr>
      <w:r>
        <w:t>Void fraction</w:t>
      </w:r>
    </w:p>
    <w:p w14:paraId="7A24508F" w14:textId="77777777" w:rsidR="00CD538E" w:rsidRDefault="00000000">
      <w:pPr>
        <w:pStyle w:val="Compact"/>
        <w:numPr>
          <w:ilvl w:val="0"/>
          <w:numId w:val="3"/>
        </w:numPr>
      </w:pPr>
      <w:r>
        <w:t>Pore volume (cm³/g)</w:t>
      </w:r>
    </w:p>
    <w:p w14:paraId="5E336D4B" w14:textId="77777777" w:rsidR="00CD538E" w:rsidRDefault="00000000">
      <w:pPr>
        <w:pStyle w:val="FirstParagraph"/>
      </w:pPr>
      <w:r>
        <w:rPr>
          <w:b/>
          <w:bCs/>
        </w:rPr>
        <w:t>Candidate / exploratory:</w:t>
      </w:r>
    </w:p>
    <w:p w14:paraId="75F4AD16" w14:textId="77777777" w:rsidR="00CD538E" w:rsidRDefault="00000000">
      <w:pPr>
        <w:pStyle w:val="Compact"/>
        <w:numPr>
          <w:ilvl w:val="0"/>
          <w:numId w:val="4"/>
        </w:numPr>
      </w:pPr>
      <w:r>
        <w:t>Density (g/cm³)</w:t>
      </w:r>
    </w:p>
    <w:p w14:paraId="46A112D6" w14:textId="77777777" w:rsidR="00CD538E" w:rsidRDefault="00000000">
      <w:pPr>
        <w:pStyle w:val="FirstParagraph"/>
      </w:pPr>
      <w:r>
        <w:rPr>
          <w:b/>
          <w:bCs/>
        </w:rPr>
        <w:t>Dimensionality:</w:t>
      </w:r>
      <w:r>
        <w:t xml:space="preserve"> 5–6 features is appropriate for OC-SVM with 23 and 13 samples each for PFOA and PFOS respectively.</w:t>
      </w:r>
    </w:p>
    <w:p w14:paraId="2C5C80AC" w14:textId="77777777" w:rsidR="00CD538E" w:rsidRDefault="00000000">
      <w:r>
        <w:pict w14:anchorId="24E8682B">
          <v:rect id="_x0000_i1098" style="width:0;height:1.5pt" o:hralign="center" o:hrstd="t" o:hr="t"/>
        </w:pict>
      </w:r>
    </w:p>
    <w:p w14:paraId="73C113A8" w14:textId="77777777" w:rsidR="00CD538E" w:rsidRDefault="00000000">
      <w:pPr>
        <w:pStyle w:val="Heading2"/>
      </w:pPr>
      <w:bookmarkStart w:id="3" w:name="modeling-choices"/>
      <w:bookmarkEnd w:id="2"/>
      <w:r>
        <w:t>Modeling choices</w:t>
      </w:r>
    </w:p>
    <w:p w14:paraId="511C17AE" w14:textId="77777777" w:rsidR="00CD538E" w:rsidRDefault="00000000">
      <w:pPr>
        <w:pStyle w:val="Heading3"/>
      </w:pPr>
      <w:bookmarkStart w:id="4" w:name="what-the-oc-svm-is-optimizing-intuition"/>
      <w:r>
        <w:t>What the OC-SVM is optimizing (intuition)</w:t>
      </w:r>
    </w:p>
    <w:p w14:paraId="3DC54D98" w14:textId="77777777" w:rsidR="00CD538E" w:rsidRDefault="00000000">
      <w:pPr>
        <w:pStyle w:val="Compact"/>
        <w:numPr>
          <w:ilvl w:val="0"/>
          <w:numId w:val="5"/>
        </w:numPr>
      </w:pPr>
      <w:r>
        <w:t xml:space="preserve">The one-class SVM learns a </w:t>
      </w:r>
      <w:r>
        <w:rPr>
          <w:i/>
          <w:iCs/>
        </w:rPr>
        <w:t>compact region</w:t>
      </w:r>
      <w:r>
        <w:t xml:space="preserve"> of descriptor space that contains most of the positive data.</w:t>
      </w:r>
    </w:p>
    <w:p w14:paraId="553EA2D3" w14:textId="77777777" w:rsidR="00CD538E" w:rsidRDefault="00000000">
      <w:pPr>
        <w:pStyle w:val="Compact"/>
        <w:numPr>
          <w:ilvl w:val="0"/>
          <w:numId w:val="5"/>
        </w:numPr>
      </w:pPr>
      <w:r>
        <w:t>Unlike binary SVMs, there is no opposing class pushing the boundary from the outside.</w:t>
      </w:r>
    </w:p>
    <w:p w14:paraId="5EF953FD" w14:textId="77777777" w:rsidR="00CD538E" w:rsidRDefault="00000000">
      <w:pPr>
        <w:pStyle w:val="Compact"/>
        <w:numPr>
          <w:ilvl w:val="0"/>
          <w:numId w:val="5"/>
        </w:numPr>
      </w:pPr>
      <w:r>
        <w:t>The solution is therefore determined by a trade-off between:</w:t>
      </w:r>
    </w:p>
    <w:p w14:paraId="1E17FADC" w14:textId="77777777" w:rsidR="00CD538E" w:rsidRDefault="00000000">
      <w:pPr>
        <w:pStyle w:val="Compact"/>
        <w:numPr>
          <w:ilvl w:val="1"/>
          <w:numId w:val="6"/>
        </w:numPr>
      </w:pPr>
      <w:r>
        <w:t>Minimizing the volume (or norm) of the enclosing region, and</w:t>
      </w:r>
    </w:p>
    <w:p w14:paraId="18FF9D9F" w14:textId="77777777" w:rsidR="00CD538E" w:rsidRDefault="00000000">
      <w:pPr>
        <w:pStyle w:val="Compact"/>
        <w:numPr>
          <w:ilvl w:val="1"/>
          <w:numId w:val="6"/>
        </w:numPr>
      </w:pPr>
      <w:r>
        <w:t>Allowing a controlled fraction of points to lie outside the boundary.</w:t>
      </w:r>
    </w:p>
    <w:p w14:paraId="214E8C1E" w14:textId="77777777" w:rsidR="00CD538E" w:rsidRDefault="00000000">
      <w:pPr>
        <w:pStyle w:val="Compact"/>
        <w:numPr>
          <w:ilvl w:val="0"/>
          <w:numId w:val="5"/>
        </w:numPr>
      </w:pPr>
      <w:r>
        <w:t xml:space="preserve">This trade-off is governed primarily by the parameter </w:t>
      </w:r>
      <w:r>
        <w:rPr>
          <w:b/>
          <w:bCs/>
        </w:rPr>
        <w:t>ν</w:t>
      </w:r>
      <w:r>
        <w:t>, which prevents the trivial solution of an infinitely large enclosing region.</w:t>
      </w:r>
    </w:p>
    <w:p w14:paraId="5D622CF2" w14:textId="77777777" w:rsidR="00CD53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Single multivariate OC-SVM</w:t>
      </w:r>
      <w:r>
        <w:t xml:space="preserve"> is standard; &gt;2 features is fine (2D examples are for visualization only).</w:t>
      </w:r>
    </w:p>
    <w:p w14:paraId="1A6315C9" w14:textId="77777777" w:rsidR="00CD538E" w:rsidRDefault="00000000">
      <w:pPr>
        <w:pStyle w:val="Heading3"/>
      </w:pPr>
      <w:bookmarkStart w:id="5" w:name="kernel-choice-justification"/>
      <w:bookmarkEnd w:id="4"/>
      <w:r>
        <w:lastRenderedPageBreak/>
        <w:t>Kernel choice (justification)</w:t>
      </w:r>
    </w:p>
    <w:p w14:paraId="664779A3" w14:textId="77777777" w:rsidR="00CD538E" w:rsidRDefault="00000000">
      <w:pPr>
        <w:pStyle w:val="FirstParagraph"/>
      </w:pPr>
      <w:r>
        <w:rPr>
          <w:b/>
          <w:bCs/>
        </w:rPr>
        <w:t>Radial Basis Function (RBF)</w:t>
      </w:r>
      <w:r>
        <w:t xml:space="preserve"> is preferred for one-class problems in materials descriptor spaces.</w:t>
      </w:r>
    </w:p>
    <w:p w14:paraId="5F125634" w14:textId="77777777" w:rsidR="00CD538E" w:rsidRDefault="00000000">
      <w:pPr>
        <w:pStyle w:val="BodyText"/>
      </w:pPr>
      <w:r>
        <w:rPr>
          <w:b/>
          <w:bCs/>
        </w:rPr>
        <w:t>Geometric rationale:</w:t>
      </w:r>
    </w:p>
    <w:p w14:paraId="5D81E99F" w14:textId="77777777" w:rsidR="00CD538E" w:rsidRDefault="00000000">
      <w:pPr>
        <w:pStyle w:val="Compact"/>
        <w:numPr>
          <w:ilvl w:val="0"/>
          <w:numId w:val="7"/>
        </w:numPr>
      </w:pPr>
      <w:r>
        <w:t xml:space="preserve">The OC-SVM objective is to </w:t>
      </w:r>
      <w:r>
        <w:rPr>
          <w:i/>
          <w:iCs/>
        </w:rPr>
        <w:t>enclose</w:t>
      </w:r>
      <w:r>
        <w:t xml:space="preserve"> the region occupied by positive examples.</w:t>
      </w:r>
    </w:p>
    <w:p w14:paraId="5BEC65B5" w14:textId="77777777" w:rsidR="00CD53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RBF kernels induce closed, flexible boundaries</w:t>
      </w:r>
      <w:r>
        <w:t xml:space="preserve"> in feature space that can wrap around clusters of points.</w:t>
      </w:r>
    </w:p>
    <w:p w14:paraId="1706AEA4" w14:textId="77777777" w:rsidR="00CD538E" w:rsidRDefault="00000000">
      <w:pPr>
        <w:pStyle w:val="Compact"/>
        <w:numPr>
          <w:ilvl w:val="0"/>
          <w:numId w:val="7"/>
        </w:numPr>
      </w:pPr>
      <w:r>
        <w:t xml:space="preserve">This matches the scientific goal: learning a </w:t>
      </w:r>
      <w:r>
        <w:rPr>
          <w:i/>
          <w:iCs/>
        </w:rPr>
        <w:t>compact support</w:t>
      </w:r>
      <w:r>
        <w:t xml:space="preserve"> of PFAS-compatible MOFs.</w:t>
      </w:r>
    </w:p>
    <w:p w14:paraId="766693E7" w14:textId="77777777" w:rsidR="00CD538E" w:rsidRDefault="00000000">
      <w:pPr>
        <w:pStyle w:val="FirstParagraph"/>
      </w:pPr>
      <w:r>
        <w:rPr>
          <w:b/>
          <w:bCs/>
        </w:rPr>
        <w:t>Kernel:</w:t>
      </w:r>
      <w:r>
        <w:t xml:space="preserve"> RBF (default for nonlinear boundaries in materials space).</w:t>
      </w:r>
    </w:p>
    <w:p w14:paraId="58450C50" w14:textId="77777777" w:rsidR="00CD53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ν (nu):</w:t>
      </w:r>
      <w:r>
        <w:t xml:space="preserve"> Controls allowed outliers and acts as a regularization parameter that prevents the enclosing region from expanding indefinitely.</w:t>
      </w:r>
    </w:p>
    <w:p w14:paraId="6BF63B97" w14:textId="77777777" w:rsidR="00CD53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γ (gamma):</w:t>
      </w:r>
      <w:r>
        <w:t xml:space="preserve"> Set via median pairwise distance heuristic or limited grid search.</w:t>
      </w:r>
    </w:p>
    <w:p w14:paraId="60590A96" w14:textId="77777777" w:rsidR="00CD538E" w:rsidRDefault="00000000">
      <w:r>
        <w:pict w14:anchorId="02F10275">
          <v:rect id="_x0000_i1099" style="width:0;height:1.5pt" o:hralign="center" o:hrstd="t" o:hr="t"/>
        </w:pict>
      </w:r>
    </w:p>
    <w:p w14:paraId="52F80AB6" w14:textId="77777777" w:rsidR="00CD538E" w:rsidRDefault="00000000">
      <w:pPr>
        <w:pStyle w:val="Heading2"/>
      </w:pPr>
      <w:bookmarkStart w:id="6" w:name="critical-preprocessing"/>
      <w:bookmarkEnd w:id="3"/>
      <w:bookmarkEnd w:id="5"/>
      <w:r>
        <w:t>Critical preprocessing</w:t>
      </w:r>
    </w:p>
    <w:p w14:paraId="10BFC961" w14:textId="77777777" w:rsidR="00CD53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Scaling is mandatory.</w:t>
      </w:r>
      <w:r>
        <w:t xml:space="preserve"> Use z-score or robust scaling.</w:t>
      </w:r>
    </w:p>
    <w:p w14:paraId="289D38E0" w14:textId="77777777" w:rsidR="00CD538E" w:rsidRDefault="00000000">
      <w:pPr>
        <w:pStyle w:val="Compact"/>
        <w:numPr>
          <w:ilvl w:val="0"/>
          <w:numId w:val="9"/>
        </w:numPr>
      </w:pPr>
      <w:r>
        <w:t>Rationale: OC BF kernel relies on Euclidean distances; unscaled features (e.g., GSA) will dominate.</w:t>
      </w:r>
    </w:p>
    <w:p w14:paraId="329BAA6A" w14:textId="77777777" w:rsidR="00CD538E" w:rsidRDefault="00000000">
      <w:pPr>
        <w:pStyle w:val="Compact"/>
        <w:numPr>
          <w:ilvl w:val="0"/>
          <w:numId w:val="9"/>
        </w:numPr>
      </w:pPr>
      <w:r>
        <w:t>Correlated descriptors (e.g., PLD, LCD, pore volume) are acceptable: the OC-SVM operates on the induced distance geometry rather than assuming feature independence.</w:t>
      </w:r>
    </w:p>
    <w:p w14:paraId="50AE2054" w14:textId="223A54B9" w:rsidR="009921DC" w:rsidRDefault="00000000" w:rsidP="009921DC">
      <w:pPr>
        <w:pStyle w:val="Compact"/>
        <w:numPr>
          <w:ilvl w:val="0"/>
          <w:numId w:val="9"/>
        </w:numPr>
      </w:pPr>
      <w:r>
        <w:t>PCA is used strictly for visualization and interpretation, not as a required preprocessing step for training.</w:t>
      </w:r>
      <w:bookmarkStart w:id="7" w:name="section"/>
      <w:bookmarkEnd w:id="6"/>
    </w:p>
    <w:p w14:paraId="3A64508F" w14:textId="77777777" w:rsidR="00CD538E" w:rsidRDefault="00000000">
      <w:r>
        <w:pict w14:anchorId="72F7E4E5">
          <v:rect id="_x0000_i1100" style="width:0;height:1.5pt" o:hralign="center" o:hrstd="t" o:hr="t"/>
        </w:pict>
      </w:r>
    </w:p>
    <w:p w14:paraId="35735877" w14:textId="77777777" w:rsidR="00CD538E" w:rsidRDefault="00000000">
      <w:pPr>
        <w:pStyle w:val="Heading2"/>
      </w:pPr>
      <w:bookmarkStart w:id="8" w:name="X2ef661c5f8f4b67613951c979e0bee3663007b5"/>
      <w:bookmarkEnd w:id="7"/>
      <w:r>
        <w:t>Assessing descriptor influence and sensitivity</w:t>
      </w:r>
    </w:p>
    <w:p w14:paraId="251590E5" w14:textId="77777777" w:rsidR="00CD538E" w:rsidRDefault="00000000">
      <w:pPr>
        <w:pStyle w:val="FirstParagraph"/>
      </w:pPr>
      <w:r>
        <w:t xml:space="preserve">There is no native coefficient-based importance. Use </w:t>
      </w:r>
      <w:r>
        <w:rPr>
          <w:b/>
          <w:bCs/>
        </w:rPr>
        <w:t>sensitivity analyses</w:t>
      </w:r>
      <w:r>
        <w:t>:</w:t>
      </w:r>
    </w:p>
    <w:p w14:paraId="4764557E" w14:textId="77777777" w:rsidR="00CD538E" w:rsidRDefault="00000000">
      <w:pPr>
        <w:pStyle w:val="Heading3"/>
      </w:pPr>
      <w:bookmarkStart w:id="9" w:name="leave-one-feature-out-lofo"/>
      <w:r>
        <w:t>1) Leave-One-Feature-Out (LOFO)</w:t>
      </w:r>
    </w:p>
    <w:p w14:paraId="6F30945E" w14:textId="77777777" w:rsidR="00CD538E" w:rsidRDefault="00000000">
      <w:pPr>
        <w:pStyle w:val="Compact"/>
        <w:numPr>
          <w:ilvl w:val="0"/>
          <w:numId w:val="10"/>
        </w:numPr>
      </w:pPr>
      <w:r>
        <w:t>Retrain after removing each feature.</w:t>
      </w:r>
    </w:p>
    <w:p w14:paraId="35B8D2EF" w14:textId="77777777" w:rsidR="00CD538E" w:rsidRDefault="00000000">
      <w:pPr>
        <w:pStyle w:val="Compact"/>
        <w:numPr>
          <w:ilvl w:val="0"/>
          <w:numId w:val="10"/>
        </w:numPr>
      </w:pPr>
      <w:r>
        <w:t>Compare:</w:t>
      </w:r>
    </w:p>
    <w:p w14:paraId="0E80ED2C" w14:textId="77777777" w:rsidR="00CD538E" w:rsidRDefault="00000000">
      <w:pPr>
        <w:pStyle w:val="Compact"/>
        <w:numPr>
          <w:ilvl w:val="1"/>
          <w:numId w:val="11"/>
        </w:numPr>
      </w:pPr>
      <w:r>
        <w:t>Fraction of training points flagged as outliers</w:t>
      </w:r>
    </w:p>
    <w:p w14:paraId="03177C5E" w14:textId="77777777" w:rsidR="00CD538E" w:rsidRDefault="00000000">
      <w:pPr>
        <w:pStyle w:val="Compact"/>
        <w:numPr>
          <w:ilvl w:val="1"/>
          <w:numId w:val="11"/>
        </w:numPr>
      </w:pPr>
      <w:r>
        <w:t>Changes in anomaly score distribution</w:t>
      </w:r>
    </w:p>
    <w:p w14:paraId="370ACB49" w14:textId="77777777" w:rsidR="00CD538E" w:rsidRDefault="00000000">
      <w:pPr>
        <w:pStyle w:val="Compact"/>
        <w:numPr>
          <w:ilvl w:val="1"/>
          <w:numId w:val="11"/>
        </w:numPr>
      </w:pPr>
      <w:r>
        <w:t>Boundary stability</w:t>
      </w:r>
    </w:p>
    <w:p w14:paraId="34257EA6" w14:textId="77777777" w:rsidR="00CD538E" w:rsidRDefault="00000000">
      <w:pPr>
        <w:pStyle w:val="Heading3"/>
      </w:pPr>
      <w:bookmarkStart w:id="10" w:name="perturbation-sensitivity"/>
      <w:bookmarkEnd w:id="9"/>
      <w:r>
        <w:t>2) Perturbation sensitivity</w:t>
      </w:r>
    </w:p>
    <w:p w14:paraId="1D786998" w14:textId="77777777" w:rsidR="00CD538E" w:rsidRDefault="00000000">
      <w:pPr>
        <w:pStyle w:val="Compact"/>
        <w:numPr>
          <w:ilvl w:val="0"/>
          <w:numId w:val="12"/>
        </w:numPr>
      </w:pPr>
      <w:r>
        <w:t>Perturb one feature (±5–10%) and observe score changes.</w:t>
      </w:r>
    </w:p>
    <w:p w14:paraId="2F77A40B" w14:textId="77777777" w:rsidR="00CD538E" w:rsidRDefault="00000000">
      <w:pPr>
        <w:pStyle w:val="Compact"/>
        <w:numPr>
          <w:ilvl w:val="0"/>
          <w:numId w:val="12"/>
        </w:numPr>
      </w:pPr>
      <w:r>
        <w:lastRenderedPageBreak/>
        <w:t>Interpretable for domain experts.</w:t>
      </w:r>
    </w:p>
    <w:p w14:paraId="1BDCF9D6" w14:textId="77777777" w:rsidR="00CD538E" w:rsidRDefault="00000000">
      <w:r>
        <w:pict w14:anchorId="2B150D58">
          <v:rect id="_x0000_i1101" style="width:0;height:1.5pt" o:hralign="center" o:hrstd="t" o:hr="t"/>
        </w:pict>
      </w:r>
    </w:p>
    <w:p w14:paraId="0769574B" w14:textId="77777777" w:rsidR="00CD538E" w:rsidRDefault="00000000">
      <w:pPr>
        <w:pStyle w:val="Heading2"/>
      </w:pPr>
      <w:bookmarkStart w:id="11" w:name="what-not-to-do"/>
      <w:bookmarkEnd w:id="8"/>
      <w:bookmarkEnd w:id="10"/>
      <w:r>
        <w:t>What not to do</w:t>
      </w:r>
    </w:p>
    <w:p w14:paraId="6F4695D6" w14:textId="77777777" w:rsidR="00CD538E" w:rsidRDefault="00000000">
      <w:pPr>
        <w:pStyle w:val="Compact"/>
        <w:numPr>
          <w:ilvl w:val="0"/>
          <w:numId w:val="13"/>
        </w:numPr>
      </w:pPr>
      <w:r>
        <w:t>Do not report p-values or regression-style coefficients.</w:t>
      </w:r>
    </w:p>
    <w:p w14:paraId="01EF186D" w14:textId="77777777" w:rsidR="00CD538E" w:rsidRDefault="00000000">
      <w:pPr>
        <w:pStyle w:val="Compact"/>
        <w:numPr>
          <w:ilvl w:val="0"/>
          <w:numId w:val="13"/>
        </w:numPr>
      </w:pPr>
      <w:r>
        <w:t>Do not assume monotonic effects.</w:t>
      </w:r>
    </w:p>
    <w:p w14:paraId="4C88AD71" w14:textId="77777777" w:rsidR="00CD538E" w:rsidRDefault="00000000">
      <w:pPr>
        <w:pStyle w:val="Compact"/>
        <w:numPr>
          <w:ilvl w:val="0"/>
          <w:numId w:val="13"/>
        </w:numPr>
      </w:pPr>
      <w:r>
        <w:t>Do not over-tune to force perceived importance.</w:t>
      </w:r>
    </w:p>
    <w:p w14:paraId="3272A976" w14:textId="77777777" w:rsidR="00CD538E" w:rsidRDefault="00000000">
      <w:r>
        <w:pict w14:anchorId="61ADC5F4">
          <v:rect id="_x0000_i1102" style="width:0;height:1.5pt" o:hralign="center" o:hrstd="t" o:hr="t"/>
        </w:pict>
      </w:r>
    </w:p>
    <w:p w14:paraId="73DBE370" w14:textId="77777777" w:rsidR="00CD538E" w:rsidRDefault="00000000">
      <w:pPr>
        <w:pStyle w:val="Heading2"/>
      </w:pPr>
      <w:bookmarkStart w:id="12" w:name="visualizing-the-learned-region"/>
      <w:bookmarkEnd w:id="11"/>
      <w:r>
        <w:t>Visualizing the learned region</w:t>
      </w:r>
    </w:p>
    <w:p w14:paraId="55B13C24" w14:textId="77777777" w:rsidR="00CD538E" w:rsidRDefault="00000000">
      <w:pPr>
        <w:pStyle w:val="FirstParagraph"/>
      </w:pPr>
      <w:r>
        <w:rPr>
          <w:i/>
          <w:iCs/>
        </w:rPr>
        <w:t>Note:</w:t>
      </w:r>
      <w:r>
        <w:t xml:space="preserve"> Different choices of slice (e.g., PCA plane vs. feature-pair slices, or different fixed reference values) may lead to different apparent boundaries; such variations reflect the high-dimensional nature of the learned region rather than model instability.</w:t>
      </w:r>
    </w:p>
    <w:p w14:paraId="0B5D260B" w14:textId="77777777" w:rsidR="00CD538E" w:rsidRDefault="00000000">
      <w:pPr>
        <w:pStyle w:val="Compact"/>
        <w:numPr>
          <w:ilvl w:val="0"/>
          <w:numId w:val="14"/>
        </w:numPr>
      </w:pPr>
      <w:r>
        <w:t xml:space="preserve">Any 2D decision boundary plot represents a </w:t>
      </w:r>
      <w:r>
        <w:rPr>
          <w:b/>
          <w:bCs/>
        </w:rPr>
        <w:t>conditional slice</w:t>
      </w:r>
      <w:r>
        <w:t xml:space="preserve"> of the learned high-dimensional region.</w:t>
      </w:r>
    </w:p>
    <w:p w14:paraId="0F893C3B" w14:textId="77777777" w:rsidR="00CD538E" w:rsidRDefault="00000000">
      <w:pPr>
        <w:pStyle w:val="Compact"/>
        <w:numPr>
          <w:ilvl w:val="0"/>
          <w:numId w:val="14"/>
        </w:numPr>
      </w:pPr>
      <w:r>
        <w:t>PCA-based plots show the intersection of the decision function with the PCA subspace.</w:t>
      </w:r>
    </w:p>
    <w:p w14:paraId="1ED85ACF" w14:textId="77777777" w:rsidR="00CD538E" w:rsidRDefault="00000000">
      <w:pPr>
        <w:pStyle w:val="Compact"/>
        <w:numPr>
          <w:ilvl w:val="0"/>
          <w:numId w:val="14"/>
        </w:numPr>
      </w:pPr>
      <w:r>
        <w:t>Original-feature plots vary two selected descriptors while fixing all remaining features at their mean values.</w:t>
      </w:r>
    </w:p>
    <w:p w14:paraId="6D207397" w14:textId="77777777" w:rsidR="00CD538E" w:rsidRDefault="00000000">
      <w:pPr>
        <w:pStyle w:val="Compact"/>
        <w:numPr>
          <w:ilvl w:val="0"/>
          <w:numId w:val="14"/>
        </w:numPr>
      </w:pPr>
      <w:r>
        <w:t>These visualizations are illustrative and should not be interpreted as complete projections of the full decision boundary.</w:t>
      </w:r>
    </w:p>
    <w:p w14:paraId="10FF5122" w14:textId="77777777" w:rsidR="00CD538E" w:rsidRDefault="00000000">
      <w:r>
        <w:pict w14:anchorId="62900B70">
          <v:rect id="_x0000_i1103" style="width:0;height:1.5pt" o:hralign="center" o:hrstd="t" o:hr="t"/>
        </w:pict>
      </w:r>
    </w:p>
    <w:p w14:paraId="2DD840C5" w14:textId="77777777" w:rsidR="00CD538E" w:rsidRDefault="00000000">
      <w:pPr>
        <w:pStyle w:val="Heading2"/>
      </w:pPr>
      <w:bookmarkStart w:id="13" w:name="recommended-workflow"/>
      <w:bookmarkEnd w:id="12"/>
      <w:r>
        <w:t>Recommended workflow</w:t>
      </w:r>
    </w:p>
    <w:p w14:paraId="5C39A0FA" w14:textId="77777777" w:rsidR="00CD538E" w:rsidRDefault="00000000">
      <w:pPr>
        <w:pStyle w:val="Compact"/>
        <w:numPr>
          <w:ilvl w:val="0"/>
          <w:numId w:val="15"/>
        </w:numPr>
      </w:pPr>
      <w:r>
        <w:t>Train RBF OC-SVM on core features (scaled).</w:t>
      </w:r>
    </w:p>
    <w:p w14:paraId="29E187BD" w14:textId="77777777" w:rsidR="00CD538E" w:rsidRDefault="00000000">
      <w:pPr>
        <w:pStyle w:val="Compact"/>
        <w:numPr>
          <w:ilvl w:val="0"/>
          <w:numId w:val="15"/>
        </w:numPr>
      </w:pPr>
      <w:r>
        <w:t>Validate stability (ν sensitivity).</w:t>
      </w:r>
    </w:p>
    <w:p w14:paraId="4C212D3C" w14:textId="77777777" w:rsidR="00CD538E" w:rsidRDefault="00000000">
      <w:pPr>
        <w:pStyle w:val="Compact"/>
        <w:numPr>
          <w:ilvl w:val="0"/>
          <w:numId w:val="15"/>
        </w:numPr>
      </w:pPr>
      <w:r>
        <w:t>Add density; compare boundary and scores.</w:t>
      </w:r>
    </w:p>
    <w:p w14:paraId="2FD12CE4" w14:textId="77777777" w:rsidR="00CD538E" w:rsidRDefault="00000000">
      <w:pPr>
        <w:pStyle w:val="Compact"/>
        <w:numPr>
          <w:ilvl w:val="0"/>
          <w:numId w:val="15"/>
        </w:numPr>
      </w:pPr>
      <w:r>
        <w:t>Perform LOFO and perturbation analyses.</w:t>
      </w:r>
    </w:p>
    <w:p w14:paraId="40D86552" w14:textId="3D1AB0DD" w:rsidR="00CD538E" w:rsidRDefault="00000000" w:rsidP="009921DC">
      <w:pPr>
        <w:pStyle w:val="Compact"/>
        <w:numPr>
          <w:ilvl w:val="0"/>
          <w:numId w:val="15"/>
        </w:numPr>
      </w:pPr>
      <w:r>
        <w:t xml:space="preserve">Report </w:t>
      </w:r>
      <w:r>
        <w:rPr>
          <w:i/>
          <w:iCs/>
        </w:rPr>
        <w:t xml:space="preserve">boundary stability, sensitivity and interpretable </w:t>
      </w:r>
      <w:proofErr w:type="gramStart"/>
      <w:r>
        <w:rPr>
          <w:i/>
          <w:iCs/>
        </w:rPr>
        <w:t>contour based</w:t>
      </w:r>
      <w:proofErr w:type="gramEnd"/>
      <w:r>
        <w:rPr>
          <w:i/>
          <w:iCs/>
        </w:rPr>
        <w:t xml:space="preserve"> visualisations</w:t>
      </w:r>
      <w:r>
        <w:t> (PCA or feature-pair slices), not coefficients.</w:t>
      </w:r>
      <w:bookmarkStart w:id="14" w:name="section-1"/>
      <w:bookmarkEnd w:id="13"/>
    </w:p>
    <w:p w14:paraId="48B3DCA5" w14:textId="77777777" w:rsidR="00CD538E" w:rsidRDefault="00000000">
      <w:r>
        <w:pict w14:anchorId="4B13B3CF">
          <v:rect id="_x0000_i1104" style="width:0;height:1.5pt" o:hralign="center" o:hrstd="t" o:hr="t"/>
        </w:pict>
      </w:r>
    </w:p>
    <w:p w14:paraId="37248853" w14:textId="77777777" w:rsidR="00CD538E" w:rsidRDefault="00000000">
      <w:pPr>
        <w:pStyle w:val="Heading2"/>
      </w:pPr>
      <w:bookmarkStart w:id="15" w:name="outputs-to-report"/>
      <w:bookmarkEnd w:id="14"/>
      <w:r>
        <w:t>Outputs to report</w:t>
      </w:r>
    </w:p>
    <w:p w14:paraId="0F8E9E97" w14:textId="77777777" w:rsidR="00CD538E" w:rsidRDefault="00000000">
      <w:pPr>
        <w:pStyle w:val="Compact"/>
        <w:numPr>
          <w:ilvl w:val="0"/>
          <w:numId w:val="16"/>
        </w:numPr>
      </w:pPr>
      <w:r>
        <w:t>Anomaly scores (continuous)</w:t>
      </w:r>
    </w:p>
    <w:p w14:paraId="6D66B070" w14:textId="77777777" w:rsidR="00CD538E" w:rsidRDefault="00000000">
      <w:pPr>
        <w:pStyle w:val="Compact"/>
        <w:numPr>
          <w:ilvl w:val="0"/>
          <w:numId w:val="16"/>
        </w:numPr>
      </w:pPr>
      <w:r>
        <w:t>In/out decision at chosen threshold</w:t>
      </w:r>
    </w:p>
    <w:p w14:paraId="178BB1A0" w14:textId="77777777" w:rsidR="00CD538E" w:rsidRDefault="00000000">
      <w:pPr>
        <w:pStyle w:val="Compact"/>
        <w:numPr>
          <w:ilvl w:val="0"/>
          <w:numId w:val="16"/>
        </w:numPr>
      </w:pPr>
      <w:r>
        <w:t>Sensitivity results supporting descriptor relevance</w:t>
      </w:r>
    </w:p>
    <w:p w14:paraId="652A0131" w14:textId="77777777" w:rsidR="00CD538E" w:rsidRDefault="00000000">
      <w:pPr>
        <w:pStyle w:val="Compact"/>
        <w:numPr>
          <w:ilvl w:val="0"/>
          <w:numId w:val="16"/>
        </w:numPr>
      </w:pPr>
      <w:r>
        <w:t>Visualisations.</w:t>
      </w:r>
      <w:bookmarkEnd w:id="0"/>
      <w:bookmarkEnd w:id="15"/>
    </w:p>
    <w:sectPr w:rsidR="00CD538E" w:rsidSect="009921DC">
      <w:footnotePr>
        <w:numRestart w:val="eachSect"/>
      </w:footnotePr>
      <w:pgSz w:w="12240" w:h="15840"/>
      <w:pgMar w:top="1440" w:right="1440" w:bottom="1134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5084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14E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2C8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0127354">
    <w:abstractNumId w:val="0"/>
  </w:num>
  <w:num w:numId="2" w16cid:durableId="1519268332">
    <w:abstractNumId w:val="1"/>
  </w:num>
  <w:num w:numId="3" w16cid:durableId="1665664666">
    <w:abstractNumId w:val="1"/>
  </w:num>
  <w:num w:numId="4" w16cid:durableId="1260405329">
    <w:abstractNumId w:val="1"/>
  </w:num>
  <w:num w:numId="5" w16cid:durableId="620191278">
    <w:abstractNumId w:val="1"/>
  </w:num>
  <w:num w:numId="6" w16cid:durableId="1570461443">
    <w:abstractNumId w:val="1"/>
  </w:num>
  <w:num w:numId="7" w16cid:durableId="394863065">
    <w:abstractNumId w:val="1"/>
  </w:num>
  <w:num w:numId="8" w16cid:durableId="403454522">
    <w:abstractNumId w:val="1"/>
  </w:num>
  <w:num w:numId="9" w16cid:durableId="1528448174">
    <w:abstractNumId w:val="1"/>
  </w:num>
  <w:num w:numId="10" w16cid:durableId="1170943300">
    <w:abstractNumId w:val="1"/>
  </w:num>
  <w:num w:numId="11" w16cid:durableId="51849845">
    <w:abstractNumId w:val="1"/>
  </w:num>
  <w:num w:numId="12" w16cid:durableId="1025138828">
    <w:abstractNumId w:val="1"/>
  </w:num>
  <w:num w:numId="13" w16cid:durableId="808674373">
    <w:abstractNumId w:val="1"/>
  </w:num>
  <w:num w:numId="14" w16cid:durableId="2091997596">
    <w:abstractNumId w:val="1"/>
  </w:num>
  <w:num w:numId="15" w16cid:durableId="1959068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3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38E"/>
    <w:rsid w:val="009921DC"/>
    <w:rsid w:val="00CD538E"/>
    <w:rsid w:val="00D2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4CB6"/>
  <w15:docId w15:val="{C8744464-6B3C-498F-8C41-F3E28070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Hasan Mansoor (Staff)</cp:lastModifiedBy>
  <cp:revision>2</cp:revision>
  <dcterms:created xsi:type="dcterms:W3CDTF">2026-01-30T14:02:00Z</dcterms:created>
  <dcterms:modified xsi:type="dcterms:W3CDTF">2026-01-30T14:07:00Z</dcterms:modified>
</cp:coreProperties>
</file>