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tbl>
      <w:tblPr>
        <w:tblW w:type="auto" w:w="0"/>
        <w:jc w:val="center"/>
        <w:tblLayout w:type="fixed"/>
        <w:tblLook w:firstColumn="1" w:firstRow="1" w:lastColumn="0" w:lastRow="0" w:noHBand="0" w:noVBand="1" w:val="04A0"/>
      </w:tblPr>
      <w:tblGrid>
        <w:gridCol w:w="9936"/>
      </w:tblGrid>
      <w:tr>
        <w:tc>
          <w:tcPr>
            <w:tcW w:type="dxa" w:w="9936"/>
            <w:shd w:fill="3730A3"/>
            <w:tcMar>
              <w:top w:w="300" w:type="dxa"/>
              <w:start w:w="280" w:type="dxa"/>
              <w:bottom w:w="250" w:type="dxa"/>
              <w:end w:w="280" w:type="dxa"/>
            </w:tcMar>
          </w:tcPr>
          <w:p>
            <w:pPr>
              <w:spacing w:after="320"/>
            </w:pPr>
            <w:r>
              <w:rPr>
                <w:rFonts w:ascii="Aptos Display" w:hAnsi="Aptos Display"/>
                <w:b/>
                <w:color w:val="FFFFFF"/>
                <w:sz w:val="34"/>
              </w:rPr>
              <w:t>LINKIAC</w:t>
            </w:r>
          </w:p>
          <w:p>
            <w:pPr>
              <w:spacing w:after="280"/>
            </w:pPr>
            <w:r>
              <w:rPr>
                <w:rFonts w:ascii="Aptos Display" w:hAnsi="Aptos Display"/>
                <w:b/>
                <w:color w:val="FFFFFF"/>
                <w:sz w:val="58"/>
              </w:rPr>
              <w:t>Engineering Best Practices</w:t>
              <w:br/>
              <w:t>&amp; Delivery Playbook</w:t>
            </w:r>
          </w:p>
          <w:p>
            <w:pPr>
              <w:spacing w:after="120"/>
            </w:pPr>
            <w:r>
              <w:rPr>
                <w:color w:val="EBEBFF"/>
                <w:sz w:val="28"/>
              </w:rPr>
              <w:t>Senior-developer guidance for building a maintainable, secure and high-quality mobile + web product</w:t>
            </w:r>
          </w:p>
          <w:p>
            <w:pPr>
              <w:spacing w:after="0"/>
            </w:pPr>
            <w:r>
              <w:rPr>
                <w:b/>
                <w:color w:val="E6E6FF"/>
                <w:sz w:val="21"/>
              </w:rPr>
              <w:t>Web + iOS + Android  •  Architecture, security, quality, testing and delivery</w:t>
            </w:r>
          </w:p>
        </w:tc>
      </w:tr>
    </w:tbl>
    <w:p>
      <w:pPr>
        <w:spacing w:after="80"/>
      </w:pPr>
    </w:p>
    <w:tbl>
      <w:tblPr>
        <w:tblW w:type="auto" w:w="0"/>
        <w:jc w:val="center"/>
        <w:tblLayout w:type="fixed"/>
        <w:tblLook w:firstColumn="1" w:firstRow="1" w:lastColumn="0" w:lastRow="0" w:noHBand="0" w:noVBand="1" w:val="04A0"/>
      </w:tblPr>
      <w:tblGrid>
        <w:gridCol w:w="4968"/>
        <w:gridCol w:w="4968"/>
      </w:tblGrid>
      <w:tr>
        <w:trPr>
          <w:cantSplit/>
        </w:trPr>
        <w:tc>
          <w:tcPr>
            <w:tcW w:type="dxa" w:w="3384"/>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8"/>
              </w:rPr>
              <w:t>Document</w:t>
            </w:r>
          </w:p>
        </w:tc>
        <w:tc>
          <w:tcPr>
            <w:tcW w:type="dxa" w:w="6552"/>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8"/>
              </w:rPr>
              <w:t>Details</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8"/>
              </w:rPr>
              <w:t>Document version</w:t>
            </w:r>
          </w:p>
        </w:tc>
        <w:tc>
          <w:tcPr>
            <w:tcW w:type="dxa" w:w="65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8"/>
              </w:rPr>
              <w:t>1.0</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8"/>
              </w:rPr>
              <w:t>Status</w:t>
            </w:r>
          </w:p>
        </w:tc>
        <w:tc>
          <w:tcPr>
            <w:tcW w:type="dxa" w:w="65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8"/>
              </w:rPr>
              <w:t>Engineering guidance / companion to Linkiac PRD v1.0</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8"/>
              </w:rPr>
              <w:t>Product</w:t>
            </w:r>
          </w:p>
        </w:tc>
        <w:tc>
          <w:tcPr>
            <w:tcW w:type="dxa" w:w="65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8"/>
              </w:rPr>
              <w:t>Linkiac</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8"/>
              </w:rPr>
              <w:t>Prepared for</w:t>
            </w:r>
          </w:p>
        </w:tc>
        <w:tc>
          <w:tcPr>
            <w:tcW w:type="dxa" w:w="65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8"/>
              </w:rPr>
              <w:t>Senior full-stack and mobile application developers</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8"/>
              </w:rPr>
              <w:t>Research basis</w:t>
            </w:r>
          </w:p>
        </w:tc>
        <w:tc>
          <w:tcPr>
            <w:tcW w:type="dxa" w:w="65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8"/>
              </w:rPr>
              <w:t>Platform guidance + OWASP + DORA + W3C + experienced developer-community practices; reviewed 5 Sep 2026</w:t>
            </w:r>
          </w:p>
        </w:tc>
      </w:tr>
    </w:tbl>
    <w:p>
      <w:pPr>
        <w:spacing w:after="20"/>
      </w:pPr>
    </w:p>
    <w:p>
      <w:pPr>
        <w:pStyle w:val="SmallMuted"/>
        <w:spacing w:before="160"/>
        <w:jc w:val="center"/>
      </w:pPr>
      <w:r>
        <w:t>Use this document as the default engineering playbook. Where it conflicts with an explicit product requirement, the Product Requirements Definition takes precedence and the conflict should be documented as an engineering decision.</w:t>
      </w:r>
    </w:p>
    <w:p>
      <w:r>
        <w:br w:type="page"/>
      </w:r>
    </w:p>
    <w:p>
      <w:pPr>
        <w:pStyle w:val="Heading1"/>
        <w:keepNext/>
        <w:keepLines/>
      </w:pPr>
      <w:r>
        <w:t>1. Purpose and How to Use This Playbook</w:t>
      </w:r>
    </w:p>
    <w:p>
      <w:r>
        <w:t>This document turns widely repeated lessons from production software teams into practical defaults for Linkiac. It is intentionally opinionated where the cost of getting a decision wrong is high, but it leaves room for the implementation team to choose libraries and frameworks that fit the final stack.</w:t>
      </w:r>
    </w:p>
    <w:p>
      <w:pPr>
        <w:pStyle w:val="Heading2"/>
        <w:keepNext/>
        <w:keepLines/>
      </w:pPr>
      <w:r>
        <w:t>1.1 Recommendation strength</w:t>
      </w:r>
    </w:p>
    <w:tbl>
      <w:tblPr>
        <w:tblW w:type="auto" w:w="0"/>
        <w:jc w:val="center"/>
        <w:tblLayout w:type="fixed"/>
        <w:tblLook w:firstColumn="1" w:firstRow="1" w:lastColumn="0" w:lastRow="0" w:noHBand="0" w:noVBand="1" w:val="04A0"/>
      </w:tblPr>
      <w:tblGrid>
        <w:gridCol w:w="3312"/>
        <w:gridCol w:w="3312"/>
        <w:gridCol w:w="3312"/>
      </w:tblGrid>
      <w:tr>
        <w:trPr>
          <w:cantSplit/>
        </w:trPr>
        <w:tc>
          <w:tcPr>
            <w:tcW w:type="dxa" w:w="2088"/>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Label</w:t>
            </w:r>
          </w:p>
        </w:tc>
        <w:tc>
          <w:tcPr>
            <w:tcW w:type="dxa" w:w="3240"/>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Meaning</w:t>
            </w:r>
          </w:p>
        </w:tc>
        <w:tc>
          <w:tcPr>
            <w:tcW w:type="dxa" w:w="4536"/>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Expected developer behavior</w:t>
            </w:r>
          </w:p>
        </w:tc>
      </w:tr>
      <w:tr>
        <w:trPr>
          <w:cantSplit/>
        </w:trPr>
        <w:tc>
          <w:tcPr>
            <w:tcW w:type="dxa" w:w="208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STRONGLY RECOMMENDED</w:t>
            </w:r>
          </w:p>
        </w:tc>
        <w:tc>
          <w:tcPr>
            <w:tcW w:type="dxa" w:w="324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Default unless there is a documented technical reason not to use it.</w:t>
            </w:r>
          </w:p>
        </w:tc>
        <w:tc>
          <w:tcPr>
            <w:tcW w:type="dxa" w:w="453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Treat as the baseline in design and review.</w:t>
            </w:r>
          </w:p>
        </w:tc>
      </w:tr>
      <w:tr>
        <w:trPr>
          <w:cantSplit/>
        </w:trPr>
        <w:tc>
          <w:tcPr>
            <w:tcW w:type="dxa" w:w="208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RECOMMENDED</w:t>
            </w:r>
          </w:p>
        </w:tc>
        <w:tc>
          <w:tcPr>
            <w:tcW w:type="dxa" w:w="324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Usually improves maintainability, quality or delivery speed.</w:t>
            </w:r>
          </w:p>
        </w:tc>
        <w:tc>
          <w:tcPr>
            <w:tcW w:type="dxa" w:w="453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Adopt unless the cost outweighs the benefit for Linkiac.</w:t>
            </w:r>
          </w:p>
        </w:tc>
      </w:tr>
      <w:tr>
        <w:trPr>
          <w:cantSplit/>
        </w:trPr>
        <w:tc>
          <w:tcPr>
            <w:tcW w:type="dxa" w:w="208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CONTEXT-DEPENDENT</w:t>
            </w:r>
          </w:p>
        </w:tc>
        <w:tc>
          <w:tcPr>
            <w:tcW w:type="dxa" w:w="324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Useful only after a need is demonstrated.</w:t>
            </w:r>
          </w:p>
        </w:tc>
        <w:tc>
          <w:tcPr>
            <w:tcW w:type="dxa" w:w="453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Do not add pre-emptively “just in case”.</w:t>
            </w:r>
          </w:p>
        </w:tc>
      </w:tr>
      <w:tr>
        <w:trPr>
          <w:cantSplit/>
        </w:trPr>
        <w:tc>
          <w:tcPr>
            <w:tcW w:type="dxa" w:w="208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AVOID</w:t>
            </w:r>
          </w:p>
        </w:tc>
        <w:tc>
          <w:tcPr>
            <w:tcW w:type="dxa" w:w="324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 recurring source of production defects, security risk or unnecessary complexity.</w:t>
            </w:r>
          </w:p>
        </w:tc>
        <w:tc>
          <w:tcPr>
            <w:tcW w:type="dxa" w:w="453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Require explicit technical justification if used.</w:t>
            </w:r>
          </w:p>
        </w:tc>
      </w:tr>
    </w:tbl>
    <w:p>
      <w:pPr>
        <w:spacing w:after="20"/>
      </w:pPr>
    </w:p>
    <w:p>
      <w:pPr>
        <w:pStyle w:val="Heading2"/>
        <w:keepNext/>
        <w:keepLines/>
      </w:pPr>
      <w:r>
        <w:t>1.2 The core rule</w:t>
      </w:r>
    </w:p>
    <w:tbl>
      <w:tblPr>
        <w:tblW w:type="auto" w:w="0"/>
        <w:jc w:val="center"/>
        <w:tblLayout w:type="autofit"/>
        <w:tblLook w:firstColumn="1" w:firstRow="1" w:lastColumn="0" w:lastRow="0" w:noHBand="0" w:noVBand="1" w:val="04A0"/>
      </w:tblPr>
      <w:tblGrid>
        <w:gridCol w:w="9936"/>
      </w:tblGrid>
      <w:tr>
        <w:tc>
          <w:tcPr>
            <w:tcW w:type="dxa" w:w="9936"/>
            <w:shd w:fill="ECFDF5"/>
            <w:tcMar>
              <w:top w:w="90" w:type="dxa"/>
              <w:start w:w="110" w:type="dxa"/>
              <w:bottom w:w="90" w:type="dxa"/>
              <w:end w:w="110" w:type="dxa"/>
            </w:tcMar>
            <w:tcBorders>
              <w:top w:val="single" w:sz="6" w:color="D1D5DB"/>
              <w:left w:val="single" w:sz="6" w:color="D1D5DB"/>
              <w:bottom w:val="single" w:sz="6" w:color="D1D5DB"/>
              <w:right w:val="single" w:sz="6" w:color="D1D5DB"/>
            </w:tcBorders>
          </w:tcPr>
          <w:p>
            <w:pPr>
              <w:spacing w:after="0"/>
            </w:pPr>
            <w:r>
              <w:rPr>
                <w:b/>
                <w:color w:val="3730A3"/>
              </w:rPr>
              <w:t xml:space="preserve">Build for change, not for cleverness.  </w:t>
            </w:r>
            <w:r>
              <w:t>Prefer boring, well-understood architecture with clear boundaries, fast feedback and observable behavior. A simple system that is easy to change is usually more valuable than a sophisticated system that is difficult to reason about.</w:t>
            </w:r>
          </w:p>
        </w:tc>
      </w:tr>
    </w:tbl>
    <w:p>
      <w:pPr>
        <w:spacing w:after="20"/>
      </w:pPr>
    </w:p>
    <w:p>
      <w:pPr>
        <w:pStyle w:val="Heading1"/>
        <w:keepNext/>
        <w:keepLines/>
      </w:pPr>
      <w:r>
        <w:t>2. Core Engineering Principles</w:t>
      </w:r>
    </w:p>
    <w:p>
      <w:pPr>
        <w:spacing w:after="60"/>
      </w:pPr>
      <w:r>
        <w:rPr>
          <w:b/>
          <w:color w:val="3730A3"/>
        </w:rPr>
        <w:t xml:space="preserve">One product, multiple clients: </w:t>
      </w:r>
      <w:r>
        <w:t>Keep product rules on the server or in shared domain modules. Web, iOS and Android should not independently reimplement the same authorization or business rules.</w:t>
      </w:r>
    </w:p>
    <w:p>
      <w:pPr>
        <w:spacing w:after="60"/>
      </w:pPr>
      <w:r>
        <w:rPr>
          <w:b/>
          <w:color w:val="3730A3"/>
        </w:rPr>
        <w:t xml:space="preserve">Server is authoritative: </w:t>
      </w:r>
      <w:r>
        <w:t>The client may improve UX optimistically, but ownership, roles, friend status, permissions, account state and data validation must be enforced server-side.</w:t>
      </w:r>
    </w:p>
    <w:p>
      <w:pPr>
        <w:spacing w:after="60"/>
      </w:pPr>
      <w:r>
        <w:rPr>
          <w:b/>
          <w:color w:val="3730A3"/>
        </w:rPr>
        <w:t xml:space="preserve">Explicit contracts: </w:t>
      </w:r>
      <w:r>
        <w:t>APIs, database schemas, native-to-web bridge messages and event payloads should have documented, versioned shapes.</w:t>
      </w:r>
    </w:p>
    <w:p>
      <w:pPr>
        <w:spacing w:after="60"/>
      </w:pPr>
      <w:r>
        <w:rPr>
          <w:b/>
          <w:color w:val="3730A3"/>
        </w:rPr>
        <w:t xml:space="preserve">Small reversible changes: </w:t>
      </w:r>
      <w:r>
        <w:t>Prefer incremental changes that can be reviewed, tested, rolled back or disabled independently.</w:t>
      </w:r>
    </w:p>
    <w:p>
      <w:pPr>
        <w:spacing w:after="60"/>
      </w:pPr>
      <w:r>
        <w:rPr>
          <w:b/>
          <w:color w:val="3730A3"/>
        </w:rPr>
        <w:t xml:space="preserve">Secure by default: </w:t>
      </w:r>
      <w:r>
        <w:t>Treat authentication, authorization, URL fetching, uploads, logs and native bridges as attack surfaces from day one.</w:t>
      </w:r>
    </w:p>
    <w:p>
      <w:pPr>
        <w:spacing w:after="60"/>
      </w:pPr>
      <w:r>
        <w:rPr>
          <w:b/>
          <w:color w:val="3730A3"/>
        </w:rPr>
        <w:t xml:space="preserve">Observability is part of the feature: </w:t>
      </w:r>
      <w:r>
        <w:t>A feature is not production-ready if the team cannot tell whether it is failing after release.</w:t>
      </w:r>
    </w:p>
    <w:p>
      <w:pPr>
        <w:spacing w:after="60"/>
      </w:pPr>
      <w:r>
        <w:rPr>
          <w:b/>
          <w:color w:val="3730A3"/>
        </w:rPr>
        <w:t xml:space="preserve">Accessibility is functionality: </w:t>
      </w:r>
      <w:r>
        <w:t>Keyboard, screen-reader, touch-target and non-drag alternatives belong in the acceptance criteria, not a later polish phase.</w:t>
      </w:r>
    </w:p>
    <w:p>
      <w:pPr>
        <w:spacing w:after="60"/>
      </w:pPr>
      <w:r>
        <w:rPr>
          <w:b/>
          <w:color w:val="3730A3"/>
        </w:rPr>
        <w:t xml:space="preserve">Automate repetitive verification: </w:t>
      </w:r>
      <w:r>
        <w:t>Formatting, linting, tests, security scans, builds and deployments should run consistently in CI rather than depend on developer memory.</w:t>
      </w:r>
    </w:p>
    <w:p>
      <w:pPr>
        <w:spacing w:after="60"/>
      </w:pPr>
      <w:r>
        <w:rPr>
          <w:b/>
          <w:color w:val="3730A3"/>
        </w:rPr>
        <w:t xml:space="preserve">Optimize measured bottlenecks: </w:t>
      </w:r>
      <w:r>
        <w:t>Use field telemetry and profiling before major performance rewrites. Avoid premature caching or distributed complexity.</w:t>
      </w:r>
    </w:p>
    <w:p>
      <w:pPr>
        <w:spacing w:after="60"/>
      </w:pPr>
      <w:r>
        <w:rPr>
          <w:b/>
          <w:color w:val="3730A3"/>
        </w:rPr>
        <w:t xml:space="preserve">Own the full lifecycle: </w:t>
      </w:r>
      <w:r>
        <w:t>Design not only for “happy path creation”, but also editing, deletion, suspension, retries, migrations, rollback, recovery and support.</w:t>
      </w:r>
    </w:p>
    <w:p>
      <w:pPr>
        <w:pStyle w:val="SmallMuted"/>
        <w:spacing w:before="20" w:after="100"/>
      </w:pPr>
      <w:r>
        <w:rPr>
          <w:b/>
        </w:rPr>
        <w:t xml:space="preserve">Reference basis: </w:t>
      </w:r>
      <w:r>
        <w:t>R1, R4-R5, R12-R14</w:t>
      </w:r>
    </w:p>
    <w:p>
      <w:pPr>
        <w:pStyle w:val="Heading1"/>
        <w:keepNext/>
        <w:keepLines/>
      </w:pPr>
      <w:r>
        <w:t>3. Architecture and Codebase Structure</w:t>
      </w:r>
    </w:p>
    <w:p>
      <w:pPr>
        <w:pStyle w:val="Heading2"/>
        <w:keepNext/>
        <w:keepLines/>
      </w:pPr>
      <w:r>
        <w:t>3.1 Start with a modular monolith unless scale proves otherwise</w:t>
      </w:r>
    </w:p>
    <w:p>
      <w:r>
        <w:t>For a product at Linkiac’s stage, a modular monolith is the safest default: one deployable backend with strong internal module boundaries. Splitting early into microservices adds distributed transactions, network failure modes, deployment coordination and monitoring overhead before stable business boundaries are known. Extract services later only when independent scaling, ownership or release cadence justifies the operational premium.</w:t>
      </w:r>
    </w:p>
    <w:p>
      <w:pPr>
        <w:pStyle w:val="SmallMuted"/>
        <w:spacing w:before="20" w:after="100"/>
      </w:pPr>
      <w:r>
        <w:rPr>
          <w:b/>
        </w:rPr>
        <w:t xml:space="preserve">Reference basis: </w:t>
      </w:r>
      <w:r>
        <w:t>R21</w:t>
      </w:r>
    </w:p>
    <w:p>
      <w:pPr>
        <w:pStyle w:val="Heading2"/>
        <w:keepNext/>
        <w:keepLines/>
      </w:pPr>
      <w:r>
        <w:t>3.2 Separate responsibilities by layer</w:t>
      </w:r>
    </w:p>
    <w:tbl>
      <w:tblPr>
        <w:tblW w:type="auto" w:w="0"/>
        <w:jc w:val="center"/>
        <w:tblLayout w:type="fixed"/>
        <w:tblLook w:firstColumn="1" w:firstRow="1" w:lastColumn="0" w:lastRow="0" w:noHBand="0" w:noVBand="1" w:val="04A0"/>
      </w:tblPr>
      <w:tblGrid>
        <w:gridCol w:w="3312"/>
        <w:gridCol w:w="3312"/>
        <w:gridCol w:w="3312"/>
      </w:tblGrid>
      <w:tr>
        <w:trPr>
          <w:cantSplit/>
        </w:trPr>
        <w:tc>
          <w:tcPr>
            <w:tcW w:type="dxa" w:w="1800"/>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Layer</w:t>
            </w:r>
          </w:p>
        </w:tc>
        <w:tc>
          <w:tcPr>
            <w:tcW w:type="dxa" w:w="3816"/>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Owns</w:t>
            </w:r>
          </w:p>
        </w:tc>
        <w:tc>
          <w:tcPr>
            <w:tcW w:type="dxa" w:w="4248"/>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Must not own</w:t>
            </w:r>
          </w:p>
        </w:tc>
      </w:tr>
      <w:tr>
        <w:trPr>
          <w:cantSplit/>
        </w:trPr>
        <w:tc>
          <w:tcPr>
            <w:tcW w:type="dxa" w:w="180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Presentation / UI</w:t>
            </w:r>
          </w:p>
        </w:tc>
        <w:tc>
          <w:tcPr>
            <w:tcW w:type="dxa" w:w="381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Rendering, interaction state, navigation, accessibility, optimistic feedback.</w:t>
            </w:r>
          </w:p>
        </w:tc>
        <w:tc>
          <w:tcPr>
            <w:tcW w:type="dxa" w:w="424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Database access, authorization decisions, long-lived business rules.</w:t>
            </w:r>
          </w:p>
        </w:tc>
      </w:tr>
      <w:tr>
        <w:trPr>
          <w:cantSplit/>
        </w:trPr>
        <w:tc>
          <w:tcPr>
            <w:tcW w:type="dxa" w:w="180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Application / domain</w:t>
            </w:r>
          </w:p>
        </w:tc>
        <w:tc>
          <w:tcPr>
            <w:tcW w:type="dxa" w:w="381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Use cases, workflows, invariants, domain policies.</w:t>
            </w:r>
          </w:p>
        </w:tc>
        <w:tc>
          <w:tcPr>
            <w:tcW w:type="dxa" w:w="424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Framework-specific UI concerns.</w:t>
            </w:r>
          </w:p>
        </w:tc>
      </w:tr>
      <w:tr>
        <w:trPr>
          <w:cantSplit/>
        </w:trPr>
        <w:tc>
          <w:tcPr>
            <w:tcW w:type="dxa" w:w="180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Data / repository</w:t>
            </w:r>
          </w:p>
        </w:tc>
        <w:tc>
          <w:tcPr>
            <w:tcW w:type="dxa" w:w="381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Persistence access, remote API calls, caching, mapping.</w:t>
            </w:r>
          </w:p>
        </w:tc>
        <w:tc>
          <w:tcPr>
            <w:tcW w:type="dxa" w:w="424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Screen behavior or role decisions based only on client state.</w:t>
            </w:r>
          </w:p>
        </w:tc>
      </w:tr>
      <w:tr>
        <w:trPr>
          <w:cantSplit/>
        </w:trPr>
        <w:tc>
          <w:tcPr>
            <w:tcW w:type="dxa" w:w="180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Infrastructure</w:t>
            </w:r>
          </w:p>
        </w:tc>
        <w:tc>
          <w:tcPr>
            <w:tcW w:type="dxa" w:w="381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Database, object storage, queues, email, preview fetcher, third-party adapters.</w:t>
            </w:r>
          </w:p>
        </w:tc>
        <w:tc>
          <w:tcPr>
            <w:tcW w:type="dxa" w:w="424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Product decisions that should be testable independently.</w:t>
            </w:r>
          </w:p>
        </w:tc>
      </w:tr>
    </w:tbl>
    <w:p>
      <w:pPr>
        <w:spacing w:after="20"/>
      </w:pPr>
    </w:p>
    <w:p>
      <w:pPr>
        <w:pStyle w:val="SmallMuted"/>
        <w:spacing w:before="20" w:after="100"/>
      </w:pPr>
      <w:r>
        <w:rPr>
          <w:b/>
        </w:rPr>
        <w:t xml:space="preserve">Reference basis: </w:t>
      </w:r>
      <w:r>
        <w:t>R1</w:t>
      </w:r>
    </w:p>
    <w:p>
      <w:pPr>
        <w:pStyle w:val="Heading2"/>
        <w:keepNext/>
        <w:keepLines/>
      </w:pPr>
      <w:r>
        <w:t>3.3 Organize by business capability, not only by technical file type</w:t>
      </w:r>
    </w:p>
    <w:p>
      <w:pPr>
        <w:pStyle w:val="ListBullet"/>
        <w:spacing w:after="50"/>
      </w:pPr>
      <w:r>
        <w:t>Prefer modules such as auth, library, folders, tags, friends, suggestions, admin and bookmark-transfer over one enormous controllers/services/models directory.</w:t>
      </w:r>
    </w:p>
    <w:p>
      <w:pPr>
        <w:pStyle w:val="ListBullet"/>
        <w:spacing w:after="50"/>
      </w:pPr>
      <w:r>
        <w:t>Expose a small public interface from each module. Do not allow unrelated modules to reach into each other’s database internals.</w:t>
      </w:r>
    </w:p>
    <w:p>
      <w:pPr>
        <w:pStyle w:val="ListBullet"/>
        <w:spacing w:after="50"/>
      </w:pPr>
      <w:r>
        <w:t>Keep circular dependencies out of the architecture. If two modules constantly need each other, revisit the boundary.</w:t>
      </w:r>
    </w:p>
    <w:p>
      <w:pPr>
        <w:pStyle w:val="ListBullet"/>
        <w:spacing w:after="50"/>
      </w:pPr>
      <w:r>
        <w:t>Write lightweight Architecture Decision Records (ADRs) for decisions that are costly to reverse: authentication model, storage provider, mobile wrapper technology, database, event/queue introduction, or public API versioning.</w:t>
      </w:r>
    </w:p>
    <w:p>
      <w:pPr>
        <w:pStyle w:val="Heading2"/>
        <w:keepNext/>
        <w:keepLines/>
      </w:pPr>
      <w:r>
        <w:t>3.4 Repository strategy</w:t>
      </w:r>
    </w:p>
    <w:p>
      <w:r>
        <w:t>For a small-to-medium cross-platform team, a monorepo is often the lowest-friction default because schemas, shared types, web code, mobile shells and CI changes can evolve atomically. A sensible shape is illustrative rather than mandatory:</w:t>
      </w:r>
    </w:p>
    <w:tbl>
      <w:tblPr>
        <w:tblW w:type="auto" w:w="0"/>
        <w:jc w:val="center"/>
        <w:tblLayout w:type="fixed"/>
        <w:tblLook w:firstColumn="1" w:firstRow="1" w:lastColumn="0" w:lastRow="0" w:noHBand="0" w:noVBand="1" w:val="04A0"/>
      </w:tblPr>
      <w:tblGrid>
        <w:gridCol w:w="4968"/>
        <w:gridCol w:w="4968"/>
      </w:tblGrid>
      <w:tr>
        <w:trPr>
          <w:cantSplit/>
        </w:trPr>
        <w:tc>
          <w:tcPr>
            <w:tcW w:type="dxa" w:w="2232"/>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Area</w:t>
            </w:r>
          </w:p>
        </w:tc>
        <w:tc>
          <w:tcPr>
            <w:tcW w:type="dxa" w:w="7560"/>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Example responsibility</w:t>
            </w:r>
          </w:p>
        </w:tc>
      </w:tr>
      <w:tr>
        <w:trPr>
          <w:cantSplit/>
        </w:trPr>
        <w:tc>
          <w:tcPr>
            <w:tcW w:type="dxa" w:w="223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apps/web</w:t>
            </w:r>
          </w:p>
        </w:tc>
        <w:tc>
          <w:tcPr>
            <w:tcW w:type="dxa" w:w="756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Responsive Linkiac web application</w:t>
            </w:r>
          </w:p>
        </w:tc>
      </w:tr>
      <w:tr>
        <w:trPr>
          <w:cantSplit/>
        </w:trPr>
        <w:tc>
          <w:tcPr>
            <w:tcW w:type="dxa" w:w="223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apps/ios</w:t>
            </w:r>
          </w:p>
        </w:tc>
        <w:tc>
          <w:tcPr>
            <w:tcW w:type="dxa" w:w="756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WKWebView/native shell, platform integrations and App Store configuration</w:t>
            </w:r>
          </w:p>
        </w:tc>
      </w:tr>
      <w:tr>
        <w:trPr>
          <w:cantSplit/>
        </w:trPr>
        <w:tc>
          <w:tcPr>
            <w:tcW w:type="dxa" w:w="223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apps/android</w:t>
            </w:r>
          </w:p>
        </w:tc>
        <w:tc>
          <w:tcPr>
            <w:tcW w:type="dxa" w:w="756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Android WebView/native shell, platform integrations and Play configuration</w:t>
            </w:r>
          </w:p>
        </w:tc>
      </w:tr>
      <w:tr>
        <w:trPr>
          <w:cantSplit/>
        </w:trPr>
        <w:tc>
          <w:tcPr>
            <w:tcW w:type="dxa" w:w="223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server</w:t>
            </w:r>
          </w:p>
        </w:tc>
        <w:tc>
          <w:tcPr>
            <w:tcW w:type="dxa" w:w="756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API, auth enforcement, business workflows, background jobs</w:t>
            </w:r>
          </w:p>
        </w:tc>
      </w:tr>
      <w:tr>
        <w:trPr>
          <w:cantSplit/>
        </w:trPr>
        <w:tc>
          <w:tcPr>
            <w:tcW w:type="dxa" w:w="223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packages/contracts</w:t>
            </w:r>
          </w:p>
        </w:tc>
        <w:tc>
          <w:tcPr>
            <w:tcW w:type="dxa" w:w="756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Shared API schemas/types generated from a single source</w:t>
            </w:r>
          </w:p>
        </w:tc>
      </w:tr>
      <w:tr>
        <w:trPr>
          <w:cantSplit/>
        </w:trPr>
        <w:tc>
          <w:tcPr>
            <w:tcW w:type="dxa" w:w="223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packages/ui</w:t>
            </w:r>
          </w:p>
        </w:tc>
        <w:tc>
          <w:tcPr>
            <w:tcW w:type="dxa" w:w="756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Reusable web UI primitives/design tokens when appropriate</w:t>
            </w:r>
          </w:p>
        </w:tc>
      </w:tr>
      <w:tr>
        <w:trPr>
          <w:cantSplit/>
        </w:trPr>
        <w:tc>
          <w:tcPr>
            <w:tcW w:type="dxa" w:w="223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infra</w:t>
            </w:r>
          </w:p>
        </w:tc>
        <w:tc>
          <w:tcPr>
            <w:tcW w:type="dxa" w:w="756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Deployment, database migrations, environment templates, observability config</w:t>
            </w:r>
          </w:p>
        </w:tc>
      </w:tr>
    </w:tbl>
    <w:p>
      <w:pPr>
        <w:spacing w:after="20"/>
      </w:pPr>
    </w:p>
    <w:tbl>
      <w:tblPr>
        <w:tblW w:type="auto" w:w="0"/>
        <w:jc w:val="center"/>
        <w:tblLayout w:type="autofit"/>
        <w:tblLook w:firstColumn="1" w:firstRow="1" w:lastColumn="0" w:lastRow="0" w:noHBand="0" w:noVBand="1" w:val="04A0"/>
      </w:tblPr>
      <w:tblGrid>
        <w:gridCol w:w="9936"/>
      </w:tblGrid>
      <w:tr>
        <w:tc>
          <w:tcPr>
            <w:tcW w:type="dxa" w:w="9936"/>
            <w:shd w:fill="FFFBEB"/>
            <w:tcMar>
              <w:top w:w="90" w:type="dxa"/>
              <w:start w:w="110" w:type="dxa"/>
              <w:bottom w:w="90" w:type="dxa"/>
              <w:end w:w="110" w:type="dxa"/>
            </w:tcMar>
            <w:tcBorders>
              <w:top w:val="single" w:sz="6" w:color="D1D5DB"/>
              <w:left w:val="single" w:sz="6" w:color="D1D5DB"/>
              <w:bottom w:val="single" w:sz="6" w:color="D1D5DB"/>
              <w:right w:val="single" w:sz="6" w:color="D1D5DB"/>
            </w:tcBorders>
          </w:tcPr>
          <w:p>
            <w:pPr>
              <w:spacing w:after="0"/>
            </w:pPr>
            <w:r>
              <w:rPr>
                <w:b/>
                <w:color w:val="3730A3"/>
              </w:rPr>
              <w:t xml:space="preserve">Avoid the “shared code at any cost” trap.  </w:t>
            </w:r>
            <w:r>
              <w:t>Share stable contracts and genuinely common behavior. Do not create abstract cross-platform layers that make simple platform-specific behavior harder to understand.</w:t>
            </w:r>
          </w:p>
        </w:tc>
      </w:tr>
    </w:tbl>
    <w:p>
      <w:pPr>
        <w:spacing w:after="20"/>
      </w:pPr>
    </w:p>
    <w:p>
      <w:pPr>
        <w:pStyle w:val="Heading1"/>
        <w:keepNext/>
        <w:keepLines/>
      </w:pPr>
      <w:r>
        <w:t>4. Web + Native Mobile Strategy</w:t>
      </w:r>
    </w:p>
    <w:p>
      <w:pPr>
        <w:pStyle w:val="Heading2"/>
        <w:keepNext/>
        <w:keepLines/>
      </w:pPr>
      <w:r>
        <w:t>4.1 Treat the responsive web app as the primary product UI</w:t>
      </w:r>
    </w:p>
    <w:p>
      <w:pPr>
        <w:pStyle w:val="ListBullet"/>
        <w:spacing w:after="50"/>
      </w:pPr>
      <w:r>
        <w:t>Design every workflow for responsive web first, including phone widths, tablets, desktop resizing, keyboard use and touch.</w:t>
      </w:r>
    </w:p>
    <w:p>
      <w:pPr>
        <w:pStyle w:val="ListBullet"/>
        <w:spacing w:after="50"/>
      </w:pPr>
      <w:r>
        <w:t>Keep the iOS and Android shells thin: lifecycle, secure credential handling, native navigation policy, universal/app links, share integration, push notifications if added, file/camera pickers, downloads and platform-specific UX.</w:t>
      </w:r>
    </w:p>
    <w:p>
      <w:pPr>
        <w:pStyle w:val="ListBullet"/>
        <w:spacing w:after="50"/>
      </w:pPr>
      <w:r>
        <w:t>Do not duplicate product logic separately in Swift/Kotlin unless a feature genuinely requires native implementation.</w:t>
      </w:r>
    </w:p>
    <w:p>
      <w:pPr>
        <w:pStyle w:val="Heading2"/>
        <w:keepNext/>
        <w:keepLines/>
      </w:pPr>
      <w:r>
        <w:t>4.2 A WebView app still needs to behave like an app</w:t>
      </w:r>
    </w:p>
    <w:p>
      <w:r>
        <w:t>Apple explicitly expects App Store software to offer functionality and UI beyond a repackaged website. Google Play also disallows low-quality or unauthorized WebView-style submissions. The mobile package should therefore provide clear app-level utility and native affordances rather than merely display the public website.</w:t>
      </w:r>
    </w:p>
    <w:p>
      <w:pPr>
        <w:pStyle w:val="ListBullet"/>
        <w:spacing w:after="50"/>
      </w:pPr>
      <w:r>
        <w:t>Recommended native value for Linkiac: platform share target/share sheet integration so a user can send a URL directly into Linkiac from another app.</w:t>
      </w:r>
    </w:p>
    <w:p>
      <w:pPr>
        <w:pStyle w:val="ListBullet"/>
        <w:spacing w:after="50"/>
      </w:pPr>
      <w:r>
        <w:t>Support Universal Links / Android App Links so links to Linkiac content or login flows open the installed app correctly.</w:t>
      </w:r>
    </w:p>
    <w:p>
      <w:pPr>
        <w:pStyle w:val="ListBullet"/>
        <w:spacing w:after="50"/>
      </w:pPr>
      <w:r>
        <w:t>Provide native loading, offline/error and update-required states rather than a blank WebView when the web origin is unavailable.</w:t>
      </w:r>
    </w:p>
    <w:p>
      <w:pPr>
        <w:pStyle w:val="ListBullet"/>
        <w:spacing w:after="50"/>
      </w:pPr>
      <w:r>
        <w:t>Use native-safe file/image selection and permission flows where WebView behavior is inconsistent.</w:t>
      </w:r>
    </w:p>
    <w:p>
      <w:pPr>
        <w:pStyle w:val="SmallMuted"/>
        <w:spacing w:before="20" w:after="100"/>
      </w:pPr>
      <w:r>
        <w:rPr>
          <w:b/>
        </w:rPr>
        <w:t xml:space="preserve">Reference basis: </w:t>
      </w:r>
      <w:r>
        <w:t>R3, R20</w:t>
      </w:r>
    </w:p>
    <w:p>
      <w:pPr>
        <w:pStyle w:val="Heading2"/>
        <w:keepNext/>
        <w:keepLines/>
      </w:pPr>
      <w:r>
        <w:t>4.3 Restrict WebView navigation and the native bridge</w:t>
      </w:r>
    </w:p>
    <w:p>
      <w:pPr>
        <w:pStyle w:val="ListBullet"/>
        <w:spacing w:after="50"/>
      </w:pPr>
      <w:r>
        <w:t>Allow in-app navigation only to approved Linkiac origins. Route normal third-party links to the system browser unless there is a deliberate in-app browsing requirement.</w:t>
      </w:r>
    </w:p>
    <w:p>
      <w:pPr>
        <w:pStyle w:val="ListBullet"/>
        <w:spacing w:after="50"/>
      </w:pPr>
      <w:r>
        <w:t>Never expose broad “execute native code” bridge APIs to arbitrary web content. Use a narrow, typed message contract with an allowlist of actions.</w:t>
      </w:r>
    </w:p>
    <w:p>
      <w:pPr>
        <w:pStyle w:val="ListBullet"/>
        <w:spacing w:after="50"/>
      </w:pPr>
      <w:r>
        <w:t>Do not enable unnecessary WebView capabilities, popups, file-scheme access or debugging in production.</w:t>
      </w:r>
    </w:p>
    <w:p>
      <w:pPr>
        <w:pStyle w:val="ListBullet"/>
        <w:spacing w:after="50"/>
      </w:pPr>
      <w:r>
        <w:t>Handle process termination, app background/foreground transitions, rotation/resizing, safe areas, software keyboard, back gestures and deep-link cold starts explicitly.</w:t>
      </w:r>
    </w:p>
    <w:p>
      <w:pPr>
        <w:pStyle w:val="ListBullet"/>
        <w:spacing w:after="50"/>
      </w:pPr>
      <w:r>
        <w:t>Destroy/release Android WebView instances correctly and test memory behavior on lower-memory devices.</w:t>
      </w:r>
    </w:p>
    <w:p>
      <w:pPr>
        <w:pStyle w:val="SmallMuted"/>
        <w:spacing w:before="20" w:after="100"/>
      </w:pPr>
      <w:r>
        <w:rPr>
          <w:b/>
        </w:rPr>
        <w:t xml:space="preserve">Reference basis: </w:t>
      </w:r>
      <w:r>
        <w:t>R18</w:t>
      </w:r>
    </w:p>
    <w:p>
      <w:pPr>
        <w:pStyle w:val="Heading2"/>
        <w:keepNext/>
        <w:keepLines/>
      </w:pPr>
      <w:r>
        <w:t>4.4 Define a compatibility contract between web and mobile shells</w:t>
      </w:r>
    </w:p>
    <w:tbl>
      <w:tblPr>
        <w:tblW w:type="auto" w:w="0"/>
        <w:jc w:val="center"/>
        <w:tblLayout w:type="autofit"/>
        <w:tblLook w:firstColumn="1" w:firstRow="1" w:lastColumn="0" w:lastRow="0" w:noHBand="0" w:noVBand="1" w:val="04A0"/>
      </w:tblPr>
      <w:tblGrid>
        <w:gridCol w:w="9936"/>
      </w:tblGrid>
      <w:tr>
        <w:tc>
          <w:tcPr>
            <w:tcW w:type="dxa" w:w="9936"/>
            <w:shd w:fill="ECFDF5"/>
            <w:tcMar>
              <w:top w:w="90" w:type="dxa"/>
              <w:start w:w="110" w:type="dxa"/>
              <w:bottom w:w="90" w:type="dxa"/>
              <w:end w:w="110" w:type="dxa"/>
            </w:tcMar>
            <w:tcBorders>
              <w:top w:val="single" w:sz="6" w:color="D1D5DB"/>
              <w:left w:val="single" w:sz="6" w:color="D1D5DB"/>
              <w:bottom w:val="single" w:sz="6" w:color="D1D5DB"/>
              <w:right w:val="single" w:sz="6" w:color="D1D5DB"/>
            </w:tcBorders>
          </w:tcPr>
          <w:p>
            <w:pPr>
              <w:spacing w:after="0"/>
            </w:pPr>
            <w:r>
              <w:rPr>
                <w:b/>
                <w:color w:val="3730A3"/>
              </w:rPr>
              <w:t xml:space="preserve">Do not let web releases silently break installed mobile versions.  </w:t>
            </w:r>
            <w:r>
              <w:t>Expose a shell capability/version handshake. When the web app needs a newer native bridge capability, feature-detect it and provide a fallback or require an app update intentionally.</w:t>
            </w:r>
          </w:p>
        </w:tc>
      </w:tr>
    </w:tbl>
    <w:p>
      <w:pPr>
        <w:spacing w:after="20"/>
      </w:pPr>
    </w:p>
    <w:p>
      <w:pPr>
        <w:pStyle w:val="Heading1"/>
        <w:keepNext/>
        <w:keepLines/>
      </w:pPr>
      <w:r>
        <w:t>5. API Design and Authorization</w:t>
      </w:r>
    </w:p>
    <w:p>
      <w:pPr>
        <w:pStyle w:val="Heading2"/>
        <w:keepNext/>
        <w:keepLines/>
      </w:pPr>
      <w:r>
        <w:t>5.1 Design APIs as contracts</w:t>
      </w:r>
    </w:p>
    <w:p>
      <w:pPr>
        <w:pStyle w:val="ListBullet"/>
        <w:spacing w:after="50"/>
      </w:pPr>
      <w:r>
        <w:t>Choose one API style and apply it consistently. REST is perfectly adequate for Linkiac; GraphQL is not automatically an upgrade.</w:t>
      </w:r>
    </w:p>
    <w:p>
      <w:pPr>
        <w:pStyle w:val="ListBullet"/>
        <w:spacing w:after="50"/>
      </w:pPr>
      <w:r>
        <w:t>Define request/response schemas in code and generate types where practical. Reject malformed data at the API boundary with stable, machine-readable error codes.</w:t>
      </w:r>
    </w:p>
    <w:p>
      <w:pPr>
        <w:pStyle w:val="ListBullet"/>
        <w:spacing w:after="50"/>
      </w:pPr>
      <w:r>
        <w:t>Use consistent pagination, sorting and filtering conventions. Never return an unbounded “all links” response for potentially large libraries.</w:t>
      </w:r>
    </w:p>
    <w:p>
      <w:pPr>
        <w:pStyle w:val="ListBullet"/>
        <w:spacing w:after="50"/>
      </w:pPr>
      <w:r>
        <w:t>Return identifiers and timestamps consistently; store timestamps in UTC and localize only for display.</w:t>
      </w:r>
    </w:p>
    <w:p>
      <w:pPr>
        <w:pStyle w:val="ListBullet"/>
        <w:spacing w:after="50"/>
      </w:pPr>
      <w:r>
        <w:t>Version breaking contracts. Prefer additive, backward-compatible changes while older mobile apps remain installed.</w:t>
      </w:r>
    </w:p>
    <w:p>
      <w:pPr>
        <w:pStyle w:val="Heading2"/>
        <w:keepNext/>
        <w:keepLines/>
      </w:pPr>
      <w:r>
        <w:t>5.2 Authorization belongs on every server operation</w:t>
      </w:r>
    </w:p>
    <w:tbl>
      <w:tblPr>
        <w:tblW w:type="auto" w:w="0"/>
        <w:jc w:val="center"/>
        <w:tblLayout w:type="fixed"/>
        <w:tblLook w:firstColumn="1" w:firstRow="1" w:lastColumn="0" w:lastRow="0" w:noHBand="0" w:noVBand="1" w:val="04A0"/>
      </w:tblPr>
      <w:tblGrid>
        <w:gridCol w:w="4968"/>
        <w:gridCol w:w="4968"/>
      </w:tblGrid>
      <w:tr>
        <w:trPr>
          <w:cantSplit/>
        </w:trPr>
        <w:tc>
          <w:tcPr>
            <w:tcW w:type="dxa" w:w="2376"/>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Rule</w:t>
            </w:r>
          </w:p>
        </w:tc>
        <w:tc>
          <w:tcPr>
            <w:tcW w:type="dxa" w:w="7416"/>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Example in Linkiac</w:t>
            </w:r>
          </w:p>
        </w:tc>
      </w:tr>
      <w:tr>
        <w:trPr>
          <w:cantSplit/>
        </w:trPr>
        <w:tc>
          <w:tcPr>
            <w:tcW w:type="dxa" w:w="237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Ownership check</w:t>
            </w:r>
          </w:p>
        </w:tc>
        <w:tc>
          <w:tcPr>
            <w:tcW w:type="dxa" w:w="741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 link/category/folder/tag can be read or mutated only by its owner unless a deliberate sharing endpoint says otherwise.</w:t>
            </w:r>
          </w:p>
        </w:tc>
      </w:tr>
      <w:tr>
        <w:trPr>
          <w:cantSplit/>
        </w:trPr>
        <w:tc>
          <w:tcPr>
            <w:tcW w:type="dxa" w:w="237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Relationship check</w:t>
            </w:r>
          </w:p>
        </w:tc>
        <w:tc>
          <w:tcPr>
            <w:tcW w:type="dxa" w:w="741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 send may target only accepted friends, enforced on the server even if the UI hides other users.</w:t>
            </w:r>
          </w:p>
        </w:tc>
      </w:tr>
      <w:tr>
        <w:trPr>
          <w:cantSplit/>
        </w:trPr>
        <w:tc>
          <w:tcPr>
            <w:tcW w:type="dxa" w:w="237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Role check</w:t>
            </w:r>
          </w:p>
        </w:tc>
        <w:tc>
          <w:tcPr>
            <w:tcW w:type="dxa" w:w="741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Admin endpoints verify the current server-side role; hiding the Admin menu is only a UX measure.</w:t>
            </w:r>
          </w:p>
        </w:tc>
      </w:tr>
      <w:tr>
        <w:trPr>
          <w:cantSplit/>
        </w:trPr>
        <w:tc>
          <w:tcPr>
            <w:tcW w:type="dxa" w:w="237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State check</w:t>
            </w:r>
          </w:p>
        </w:tc>
        <w:tc>
          <w:tcPr>
            <w:tcW w:type="dxa" w:w="741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Suspended users cannot continue privileged operations through old sessions.</w:t>
            </w:r>
          </w:p>
        </w:tc>
      </w:tr>
      <w:tr>
        <w:trPr>
          <w:cantSplit/>
        </w:trPr>
        <w:tc>
          <w:tcPr>
            <w:tcW w:type="dxa" w:w="237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Object reference safety</w:t>
            </w:r>
          </w:p>
        </w:tc>
        <w:tc>
          <w:tcPr>
            <w:tcW w:type="dxa" w:w="741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IDs from the client are never proof of access; prevent IDOR by authorizing the referenced object.</w:t>
            </w:r>
          </w:p>
        </w:tc>
      </w:tr>
    </w:tbl>
    <w:p>
      <w:pPr>
        <w:spacing w:after="20"/>
      </w:pPr>
    </w:p>
    <w:p>
      <w:pPr>
        <w:pStyle w:val="SmallMuted"/>
        <w:spacing w:before="20" w:after="100"/>
      </w:pPr>
      <w:r>
        <w:rPr>
          <w:b/>
        </w:rPr>
        <w:t xml:space="preserve">Reference basis: </w:t>
      </w:r>
      <w:r>
        <w:t>R4, R7</w:t>
      </w:r>
    </w:p>
    <w:p>
      <w:pPr>
        <w:pStyle w:val="Heading2"/>
        <w:keepNext/>
        <w:keepLines/>
      </w:pPr>
      <w:r>
        <w:t>5.3 Reliability patterns</w:t>
      </w:r>
    </w:p>
    <w:p>
      <w:pPr>
        <w:pStyle w:val="ListBullet"/>
        <w:spacing w:after="50"/>
      </w:pPr>
      <w:r>
        <w:t>Make dangerous or repeatable writes idempotent where duplicate requests are plausible (e.g., account deletion job, import confirmation, multi-recipient send).</w:t>
      </w:r>
    </w:p>
    <w:p>
      <w:pPr>
        <w:pStyle w:val="ListBullet"/>
        <w:spacing w:after="50"/>
      </w:pPr>
      <w:r>
        <w:t>Use transactions for multi-step state changes that must succeed together, such as accepting an inbox suggestion into the library and removing the pending item.</w:t>
      </w:r>
    </w:p>
    <w:p>
      <w:pPr>
        <w:pStyle w:val="ListBullet"/>
        <w:spacing w:after="50"/>
      </w:pPr>
      <w:r>
        <w:t>Set explicit network timeouts. Retry only operations that are safe to retry, with capped exponential backoff and jitter.</w:t>
      </w:r>
    </w:p>
    <w:p>
      <w:pPr>
        <w:pStyle w:val="ListBullet"/>
        <w:spacing w:after="50"/>
      </w:pPr>
      <w:r>
        <w:t>Return retryable vs non-retryable errors distinctly so clients do not loop on permanent failures.</w:t>
      </w:r>
    </w:p>
    <w:p>
      <w:pPr>
        <w:pStyle w:val="Heading1"/>
        <w:keepNext/>
        <w:keepLines/>
      </w:pPr>
      <w:r>
        <w:t>6. Data Model, Migrations and Consistency</w:t>
      </w:r>
    </w:p>
    <w:p>
      <w:pPr>
        <w:pStyle w:val="Heading2"/>
        <w:keepNext/>
        <w:keepLines/>
      </w:pPr>
      <w:r>
        <w:t>6.1 Prefer explicit constraints over assumptions in application code</w:t>
      </w:r>
    </w:p>
    <w:p>
      <w:pPr>
        <w:pStyle w:val="ListBullet"/>
        <w:spacing w:after="50"/>
      </w:pPr>
      <w:r>
        <w:t>Use foreign keys, unique constraints and appropriate NOT NULL constraints for invariants that the database can enforce.</w:t>
      </w:r>
    </w:p>
    <w:p>
      <w:pPr>
        <w:pStyle w:val="ListBullet"/>
        <w:spacing w:after="50"/>
      </w:pPr>
      <w:r>
        <w:t>Index columns that drive common ownership filters, relationship checks, sorting and recursive folder traversal. Verify with actual query plans as data grows.</w:t>
      </w:r>
    </w:p>
    <w:p>
      <w:pPr>
        <w:pStyle w:val="ListBullet"/>
        <w:spacing w:after="50"/>
      </w:pPr>
      <w:r>
        <w:t>Use opaque stable IDs (for example UUID/ULID) if objects can appear in public/client-facing identifiers; do not treat sequential IDs as authorization.</w:t>
      </w:r>
    </w:p>
    <w:p>
      <w:pPr>
        <w:pStyle w:val="ListBullet"/>
        <w:spacing w:after="50"/>
      </w:pPr>
      <w:r>
        <w:t>Document delete behavior: hard delete, soft delete, cascade, retained audit record, object-storage cleanup and backup retention are different decisions.</w:t>
      </w:r>
    </w:p>
    <w:p>
      <w:pPr>
        <w:pStyle w:val="Heading2"/>
        <w:keepNext/>
        <w:keepLines/>
      </w:pPr>
      <w:r>
        <w:t>6.2 Folder trees require defensive constraints</w:t>
      </w:r>
    </w:p>
    <w:p>
      <w:pPr>
        <w:pStyle w:val="ListBullet"/>
        <w:spacing w:after="50"/>
      </w:pPr>
      <w:r>
        <w:t>Use a clear hierarchy model such as an adjacency list with parent_folder_id. Keep category/folder invariants explicit.</w:t>
      </w:r>
    </w:p>
    <w:p>
      <w:pPr>
        <w:pStyle w:val="ListBullet"/>
        <w:spacing w:after="50"/>
      </w:pPr>
      <w:r>
        <w:t>Block self-parenting and all descendant-to-ancestor moves. Validate cycle prevention server-side, not only in drag-and-drop UI.</w:t>
      </w:r>
    </w:p>
    <w:p>
      <w:pPr>
        <w:pStyle w:val="ListBullet"/>
        <w:spacing w:after="50"/>
      </w:pPr>
      <w:r>
        <w:t>Although product behavior may allow deep nesting, protect recursive queries from pathological input with tested query limits/timeouts and efficient indexes.</w:t>
      </w:r>
    </w:p>
    <w:p>
      <w:pPr>
        <w:pStyle w:val="Heading2"/>
        <w:keepNext/>
        <w:keepLines/>
      </w:pPr>
      <w:r>
        <w:t>6.3 Treat schema migrations as production code</w:t>
      </w:r>
    </w:p>
    <w:p>
      <w:pPr>
        <w:pStyle w:val="ListBullet"/>
        <w:spacing w:after="50"/>
      </w:pPr>
      <w:r>
        <w:t>Every schema change is reviewed, version-controlled and tested against realistic data.</w:t>
      </w:r>
    </w:p>
    <w:p>
      <w:pPr>
        <w:pStyle w:val="ListBullet"/>
        <w:spacing w:after="50"/>
      </w:pPr>
      <w:r>
        <w:t>Prefer expand/migrate/contract changes for zero-downtime releases: add compatible schema, deploy code that handles both forms, migrate data, then remove the old form later.</w:t>
      </w:r>
    </w:p>
    <w:p>
      <w:pPr>
        <w:pStyle w:val="ListBullet"/>
        <w:spacing w:after="50"/>
      </w:pPr>
      <w:r>
        <w:t>Do not couple application rollback to a destructive database rollback. A backward-compatible database is usually safer than “down” migrations that destroy data.</w:t>
      </w:r>
    </w:p>
    <w:p>
      <w:pPr>
        <w:pStyle w:val="ListBullet"/>
        <w:spacing w:after="50"/>
      </w:pPr>
      <w:r>
        <w:t>Practice backup restoration. A backup that has never been restored is only a hypothesis.</w:t>
      </w:r>
    </w:p>
    <w:p>
      <w:pPr>
        <w:pStyle w:val="Heading1"/>
        <w:keepNext/>
        <w:keepLines/>
      </w:pPr>
      <w:r>
        <w:t>7. Authentication, Session Security and Secrets</w:t>
      </w:r>
    </w:p>
    <w:p>
      <w:pPr>
        <w:pStyle w:val="Heading2"/>
        <w:keepNext/>
        <w:keepLines/>
      </w:pPr>
      <w:r>
        <w:t>7.1 Use proven authentication components</w:t>
      </w:r>
    </w:p>
    <w:p>
      <w:pPr>
        <w:pStyle w:val="ListBullet"/>
        <w:spacing w:after="50"/>
      </w:pPr>
      <w:r>
        <w:t>Prefer a mature authentication framework/provider over custom cryptography or hand-written OAuth flows.</w:t>
      </w:r>
    </w:p>
    <w:p>
      <w:pPr>
        <w:pStyle w:val="ListBullet"/>
        <w:spacing w:after="50"/>
      </w:pPr>
      <w:r>
        <w:t>If Linkiac stores password hashes itself, use a modern slow password hash such as Argon2id with current OWASP-recommended parameters; never plaintext or a fast general-purpose hash.</w:t>
      </w:r>
    </w:p>
    <w:p>
      <w:pPr>
        <w:pStyle w:val="ListBullet"/>
        <w:spacing w:after="50"/>
      </w:pPr>
      <w:r>
        <w:t>Regenerate/rotate sessions after login and other privilege changes. Revoke active sessions appropriately on account suspension, password compromise or account deletion.</w:t>
      </w:r>
    </w:p>
    <w:p>
      <w:pPr>
        <w:pStyle w:val="SmallMuted"/>
        <w:spacing w:before="20" w:after="100"/>
      </w:pPr>
      <w:r>
        <w:rPr>
          <w:b/>
        </w:rPr>
        <w:t xml:space="preserve">Reference basis: </w:t>
      </w:r>
      <w:r>
        <w:t>R8, R4</w:t>
      </w:r>
    </w:p>
    <w:p>
      <w:pPr>
        <w:pStyle w:val="Heading2"/>
        <w:keepNext/>
        <w:keepLines/>
      </w:pPr>
      <w:r>
        <w:t>7.2 Browser session storage</w:t>
      </w:r>
    </w:p>
    <w:p>
      <w:pPr>
        <w:pStyle w:val="ListBullet"/>
        <w:spacing w:after="50"/>
      </w:pPr>
      <w:r>
        <w:t>Prefer server-managed sessions in Secure, HttpOnly cookies with an explicit SameSite policy when compatible with the chosen architecture.</w:t>
      </w:r>
    </w:p>
    <w:p>
      <w:pPr>
        <w:pStyle w:val="ListBullet"/>
        <w:spacing w:after="50"/>
      </w:pPr>
      <w:r>
        <w:t>Do not store session IDs, access tokens, refresh tokens or credentials in localStorage/sessionStorage. XSS can read them.</w:t>
      </w:r>
    </w:p>
    <w:p>
      <w:pPr>
        <w:pStyle w:val="ListBullet"/>
        <w:spacing w:after="50"/>
      </w:pPr>
      <w:r>
        <w:t>Use HTTPS for the entire authenticated application, HSTS in production, CSRF protection where cookies authenticate state-changing requests, and a restrictive Content Security Policy.</w:t>
      </w:r>
    </w:p>
    <w:p>
      <w:pPr>
        <w:pStyle w:val="SmallMuted"/>
        <w:spacing w:before="20" w:after="100"/>
      </w:pPr>
      <w:r>
        <w:rPr>
          <w:b/>
        </w:rPr>
        <w:t xml:space="preserve">Reference basis: </w:t>
      </w:r>
      <w:r>
        <w:t>R7, R17</w:t>
      </w:r>
    </w:p>
    <w:p>
      <w:pPr>
        <w:pStyle w:val="Heading2"/>
        <w:keepNext/>
        <w:keepLines/>
      </w:pPr>
      <w:r>
        <w:t>7.3 Native secret storage</w:t>
      </w:r>
    </w:p>
    <w:p>
      <w:pPr>
        <w:pStyle w:val="ListBullet"/>
        <w:spacing w:after="50"/>
      </w:pPr>
      <w:r>
        <w:t>If the native shells must hold a token/secret, store it using the platform secure store (iOS Keychain; Android Keystore-backed secure storage), not plain preferences/files.</w:t>
      </w:r>
    </w:p>
    <w:p>
      <w:pPr>
        <w:pStyle w:val="ListBullet"/>
        <w:spacing w:after="50"/>
      </w:pPr>
      <w:r>
        <w:t>Never embed server secrets, database credentials, admin keys or privileged API keys in the web bundle or mobile binary. Anything shipped to a client should be considered extractable.</w:t>
      </w:r>
    </w:p>
    <w:p>
      <w:pPr>
        <w:pStyle w:val="SmallMuted"/>
        <w:spacing w:before="20" w:after="100"/>
      </w:pPr>
      <w:r>
        <w:rPr>
          <w:b/>
        </w:rPr>
        <w:t xml:space="preserve">Reference basis: </w:t>
      </w:r>
      <w:r>
        <w:t>R19, R5</w:t>
      </w:r>
    </w:p>
    <w:p>
      <w:pPr>
        <w:pStyle w:val="Heading1"/>
        <w:keepNext/>
        <w:keepLines/>
      </w:pPr>
      <w:r>
        <w:t>8. Link Preview and User-Supplied URL Security</w:t>
      </w:r>
    </w:p>
    <w:tbl>
      <w:tblPr>
        <w:tblW w:type="auto" w:w="0"/>
        <w:jc w:val="center"/>
        <w:tblLayout w:type="autofit"/>
        <w:tblLook w:firstColumn="1" w:firstRow="1" w:lastColumn="0" w:lastRow="0" w:noHBand="0" w:noVBand="1" w:val="04A0"/>
      </w:tblPr>
      <w:tblGrid>
        <w:gridCol w:w="9936"/>
      </w:tblGrid>
      <w:tr>
        <w:tc>
          <w:tcPr>
            <w:tcW w:type="dxa" w:w="9936"/>
            <w:shd w:fill="FEF2F2"/>
            <w:tcMar>
              <w:top w:w="90" w:type="dxa"/>
              <w:start w:w="110" w:type="dxa"/>
              <w:bottom w:w="90" w:type="dxa"/>
              <w:end w:w="110" w:type="dxa"/>
            </w:tcMar>
            <w:tcBorders>
              <w:top w:val="single" w:sz="6" w:color="D1D5DB"/>
              <w:left w:val="single" w:sz="6" w:color="D1D5DB"/>
              <w:bottom w:val="single" w:sz="6" w:color="D1D5DB"/>
              <w:right w:val="single" w:sz="6" w:color="D1D5DB"/>
            </w:tcBorders>
          </w:tcPr>
          <w:p>
            <w:pPr>
              <w:spacing w:after="0"/>
            </w:pPr>
            <w:r>
              <w:rPr>
                <w:b/>
                <w:color w:val="3730A3"/>
              </w:rPr>
              <w:t xml:space="preserve">This is a high-priority Linkiac-specific security area.  </w:t>
            </w:r>
            <w:r>
              <w:t>Linkiac intentionally accepts arbitrary free text in its URL field, and separately attempts server-side preview fetching only when input appears fetchable. The preview service must treat every destination as hostile.</w:t>
            </w:r>
          </w:p>
        </w:tc>
      </w:tr>
    </w:tbl>
    <w:p>
      <w:pPr>
        <w:spacing w:after="20"/>
      </w:pPr>
    </w:p>
    <w:p>
      <w:pPr>
        <w:pStyle w:val="Heading2"/>
        <w:keepNext/>
        <w:keepLines/>
      </w:pPr>
      <w:r>
        <w:t>8.1 Preserve the product rule while isolating risky behavior</w:t>
      </w:r>
    </w:p>
    <w:p>
      <w:pPr>
        <w:pStyle w:val="ListBullet"/>
        <w:spacing w:after="50"/>
      </w:pPr>
      <w:r>
        <w:t>Saving the raw URL/text must never depend on URL validation. Store exactly what the user entered, subject only to safe size limits and general text handling.</w:t>
      </w:r>
    </w:p>
    <w:p>
      <w:pPr>
        <w:pStyle w:val="ListBullet"/>
        <w:spacing w:after="50"/>
      </w:pPr>
      <w:r>
        <w:t>Preview fetching is a separate best-effort operation. Failure to parse, resolve or fetch must not fail link creation.</w:t>
      </w:r>
    </w:p>
    <w:p>
      <w:pPr>
        <w:pStyle w:val="Heading2"/>
        <w:keepNext/>
        <w:keepLines/>
      </w:pPr>
      <w:r>
        <w:t>8.2 Prevent SSRF in preview fetching</w:t>
      </w:r>
    </w:p>
    <w:p>
      <w:pPr>
        <w:pStyle w:val="ListBullet"/>
        <w:spacing w:after="50"/>
      </w:pPr>
      <w:r>
        <w:t>Never let the application server blindly fetch an arbitrary user-provided address with unrestricted network access.</w:t>
      </w:r>
    </w:p>
    <w:p>
      <w:pPr>
        <w:pStyle w:val="ListBullet"/>
        <w:spacing w:after="50"/>
      </w:pPr>
      <w:r>
        <w:t>Resolve DNS and block loopback, link-local, private, multicast, metadata-service and other non-public network ranges for every request and redirect hop; protect against DNS rebinding.</w:t>
      </w:r>
    </w:p>
    <w:p>
      <w:pPr>
        <w:pStyle w:val="ListBullet"/>
        <w:spacing w:after="50"/>
      </w:pPr>
      <w:r>
        <w:t>Allow only intended schemes (normally http/https). Reject file:, ftp:, gopher:, data: and unexpected protocols for server-side fetching.</w:t>
      </w:r>
    </w:p>
    <w:p>
      <w:pPr>
        <w:pStyle w:val="ListBullet"/>
        <w:spacing w:after="50"/>
      </w:pPr>
      <w:r>
        <w:t>Use strict connect/read timeouts, redirect limits, response byte limits and accepted content types. Abort oversized downloads early.</w:t>
      </w:r>
    </w:p>
    <w:p>
      <w:pPr>
        <w:pStyle w:val="ListBullet"/>
        <w:spacing w:after="50"/>
      </w:pPr>
      <w:r>
        <w:t>Run preview extraction with restricted egress/network privileges if infrastructure permits. Do not forward user cookies, authentication headers or internal credentials to the target.</w:t>
      </w:r>
    </w:p>
    <w:p>
      <w:pPr>
        <w:pStyle w:val="ListBullet"/>
        <w:spacing w:after="50"/>
      </w:pPr>
      <w:r>
        <w:t>Sanitize extracted titles/descriptions before rendering; external metadata is untrusted content.</w:t>
      </w:r>
    </w:p>
    <w:p>
      <w:pPr>
        <w:pStyle w:val="SmallMuted"/>
        <w:spacing w:before="20" w:after="100"/>
      </w:pPr>
      <w:r>
        <w:rPr>
          <w:b/>
        </w:rPr>
        <w:t xml:space="preserve">Reference basis: </w:t>
      </w:r>
      <w:r>
        <w:t>R6</w:t>
      </w:r>
    </w:p>
    <w:p>
      <w:pPr>
        <w:pStyle w:val="Heading2"/>
        <w:keepNext/>
        <w:keepLines/>
      </w:pPr>
      <w:r>
        <w:t>8.3 Upload safety</w:t>
      </w:r>
    </w:p>
    <w:p>
      <w:pPr>
        <w:pStyle w:val="ListBullet"/>
        <w:spacing w:after="50"/>
      </w:pPr>
      <w:r>
        <w:t>Validate actual image content rather than trusting only filename extensions or browser MIME strings.</w:t>
      </w:r>
    </w:p>
    <w:p>
      <w:pPr>
        <w:pStyle w:val="ListBullet"/>
        <w:spacing w:after="50"/>
      </w:pPr>
      <w:r>
        <w:t>Set file-size and pixel-dimension limits, generate server-controlled filenames/object keys, and strip unsafe metadata where appropriate.</w:t>
      </w:r>
    </w:p>
    <w:p>
      <w:pPr>
        <w:pStyle w:val="ListBullet"/>
        <w:spacing w:after="50"/>
      </w:pPr>
      <w:r>
        <w:t>Serve uploaded content from a controlled storage/CDN origin with safe content types; do not execute uploaded content as application code.</w:t>
      </w:r>
    </w:p>
    <w:p>
      <w:pPr>
        <w:pStyle w:val="Heading1"/>
        <w:keepNext/>
        <w:keepLines/>
      </w:pPr>
      <w:r>
        <w:t>9. Performance, Caching and Resilience</w:t>
      </w:r>
    </w:p>
    <w:p>
      <w:pPr>
        <w:pStyle w:val="Heading2"/>
        <w:keepNext/>
        <w:keepLines/>
      </w:pPr>
      <w:r>
        <w:t>9.1 Set user-centered performance budgets</w:t>
      </w:r>
    </w:p>
    <w:tbl>
      <w:tblPr>
        <w:tblW w:type="auto" w:w="0"/>
        <w:jc w:val="center"/>
        <w:tblLayout w:type="fixed"/>
        <w:tblLook w:firstColumn="1" w:firstRow="1" w:lastColumn="0" w:lastRow="0" w:noHBand="0" w:noVBand="1" w:val="04A0"/>
      </w:tblPr>
      <w:tblGrid>
        <w:gridCol w:w="4968"/>
        <w:gridCol w:w="4968"/>
      </w:tblGrid>
      <w:tr>
        <w:trPr>
          <w:cantSplit/>
        </w:trPr>
        <w:tc>
          <w:tcPr>
            <w:tcW w:type="dxa" w:w="3096"/>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Metric / experience</w:t>
            </w:r>
          </w:p>
        </w:tc>
        <w:tc>
          <w:tcPr>
            <w:tcW w:type="dxa" w:w="6696"/>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Practical target</w:t>
            </w:r>
          </w:p>
        </w:tc>
      </w:tr>
      <w:tr>
        <w:trPr>
          <w:cantSplit/>
        </w:trPr>
        <w:tc>
          <w:tcPr>
            <w:tcW w:type="dxa" w:w="309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Largest Contentful Paint (web)</w:t>
            </w:r>
          </w:p>
        </w:tc>
        <w:tc>
          <w:tcPr>
            <w:tcW w:type="dxa" w:w="669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&lt;= 2.5 s at the 75th percentile where feasible</w:t>
            </w:r>
          </w:p>
        </w:tc>
      </w:tr>
      <w:tr>
        <w:trPr>
          <w:cantSplit/>
        </w:trPr>
        <w:tc>
          <w:tcPr>
            <w:tcW w:type="dxa" w:w="309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Interaction to Next Paint (web)</w:t>
            </w:r>
          </w:p>
        </w:tc>
        <w:tc>
          <w:tcPr>
            <w:tcW w:type="dxa" w:w="669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&lt;= 200 ms at the 75th percentile where feasible</w:t>
            </w:r>
          </w:p>
        </w:tc>
      </w:tr>
      <w:tr>
        <w:trPr>
          <w:cantSplit/>
        </w:trPr>
        <w:tc>
          <w:tcPr>
            <w:tcW w:type="dxa" w:w="309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Cumulative Layout Shift (web)</w:t>
            </w:r>
          </w:p>
        </w:tc>
        <w:tc>
          <w:tcPr>
            <w:tcW w:type="dxa" w:w="669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&lt;= 0.1 at the 75th percentile</w:t>
            </w:r>
          </w:p>
        </w:tc>
      </w:tr>
      <w:tr>
        <w:trPr>
          <w:cantSplit/>
        </w:trPr>
        <w:tc>
          <w:tcPr>
            <w:tcW w:type="dxa" w:w="309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Mobile startup</w:t>
            </w:r>
          </w:p>
        </w:tc>
        <w:tc>
          <w:tcPr>
            <w:tcW w:type="dxa" w:w="669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Show meaningful UI quickly; if startup exceeds ~2 s, show clear progress rather than a frozen/blank screen</w:t>
            </w:r>
          </w:p>
        </w:tc>
      </w:tr>
      <w:tr>
        <w:trPr>
          <w:cantSplit/>
        </w:trPr>
        <w:tc>
          <w:tcPr>
            <w:tcW w:type="dxa" w:w="309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API latency</w:t>
            </w:r>
          </w:p>
        </w:tc>
        <w:tc>
          <w:tcPr>
            <w:tcW w:type="dxa" w:w="669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Define per-endpoint SLOs from production telemetry; optimize the slow user journeys, not synthetic vanity numbers</w:t>
            </w:r>
          </w:p>
        </w:tc>
      </w:tr>
    </w:tbl>
    <w:p>
      <w:pPr>
        <w:spacing w:after="20"/>
      </w:pPr>
    </w:p>
    <w:p>
      <w:pPr>
        <w:pStyle w:val="SmallMuted"/>
        <w:spacing w:before="20" w:after="100"/>
      </w:pPr>
      <w:r>
        <w:rPr>
          <w:b/>
        </w:rPr>
        <w:t xml:space="preserve">Reference basis: </w:t>
      </w:r>
      <w:r>
        <w:t>R11, R2</w:t>
      </w:r>
    </w:p>
    <w:p>
      <w:pPr>
        <w:pStyle w:val="Heading2"/>
        <w:keepNext/>
        <w:keepLines/>
      </w:pPr>
      <w:r>
        <w:t>9.2 Common high-value optimizations</w:t>
      </w:r>
    </w:p>
    <w:p>
      <w:pPr>
        <w:pStyle w:val="ListBullet"/>
        <w:spacing w:after="50"/>
      </w:pPr>
      <w:r>
        <w:t>Lazy-load thumbnails and non-critical routes. Provide fixed image dimensions/aspect ratios so cards do not shift during loading.</w:t>
      </w:r>
    </w:p>
    <w:p>
      <w:pPr>
        <w:pStyle w:val="ListBullet"/>
        <w:spacing w:after="50"/>
      </w:pPr>
      <w:r>
        <w:t>Generate appropriately sized thumbnail variants; do not download full-resolution images for small cards.</w:t>
      </w:r>
    </w:p>
    <w:p>
      <w:pPr>
        <w:pStyle w:val="ListBullet"/>
        <w:spacing w:after="50"/>
      </w:pPr>
      <w:r>
        <w:t>Paginate or virtualize very large link lists. Avoid rendering thousands of cards at once.</w:t>
      </w:r>
    </w:p>
    <w:p>
      <w:pPr>
        <w:pStyle w:val="ListBullet"/>
        <w:spacing w:after="50"/>
      </w:pPr>
      <w:r>
        <w:t>Cache immutable/static assets aggressively with content hashes. Be conservative with caching user-private API responses.</w:t>
      </w:r>
    </w:p>
    <w:p>
      <w:pPr>
        <w:pStyle w:val="ListBullet"/>
        <w:spacing w:after="50"/>
      </w:pPr>
      <w:r>
        <w:t>Use database indexes and query profiling before adding application caches. Caches introduce invalidation and privacy complexity.</w:t>
      </w:r>
    </w:p>
    <w:p>
      <w:pPr>
        <w:pStyle w:val="Heading2"/>
        <w:keepNext/>
        <w:keepLines/>
      </w:pPr>
      <w:r>
        <w:t>9.3 Design for unreliable mobile networks</w:t>
      </w:r>
    </w:p>
    <w:p>
      <w:pPr>
        <w:pStyle w:val="ListBullet"/>
        <w:spacing w:after="50"/>
      </w:pPr>
      <w:r>
        <w:t>Every loading state needs an error state and a retry path. Never assume a request either succeeds instantly or the user is permanently offline.</w:t>
      </w:r>
    </w:p>
    <w:p>
      <w:pPr>
        <w:pStyle w:val="ListBullet"/>
        <w:spacing w:after="50"/>
      </w:pPr>
      <w:r>
        <w:t>Preserve unsent form input when a transient network error occurs.</w:t>
      </w:r>
    </w:p>
    <w:p>
      <w:pPr>
        <w:pStyle w:val="ListBullet"/>
        <w:spacing w:after="50"/>
      </w:pPr>
      <w:r>
        <w:t>Use optimistic UI only where reversal is understandable. Reconcile with the server response and surface failures clearly.</w:t>
      </w:r>
    </w:p>
    <w:p>
      <w:pPr>
        <w:pStyle w:val="ListBullet"/>
        <w:spacing w:after="50"/>
      </w:pPr>
      <w:r>
        <w:t>Pull-to-refresh should not be the only way to recover fresh data; foregrounding the app and normal navigation should refresh stale critical views appropriately.</w:t>
      </w:r>
    </w:p>
    <w:p>
      <w:pPr>
        <w:pStyle w:val="Heading1"/>
        <w:keepNext/>
        <w:keepLines/>
      </w:pPr>
      <w:r>
        <w:t>10. UX, Accessibility and Responsive Behavior</w:t>
      </w:r>
    </w:p>
    <w:p>
      <w:pPr>
        <w:pStyle w:val="Heading2"/>
        <w:keepNext/>
        <w:keepLines/>
      </w:pPr>
      <w:r>
        <w:t>10.1 Build accessible interactions from the first component</w:t>
      </w:r>
    </w:p>
    <w:p>
      <w:pPr>
        <w:pStyle w:val="ListBullet"/>
        <w:spacing w:after="50"/>
      </w:pPr>
      <w:r>
        <w:t>Target WCAG 2.2 Level AA for the web application and apply the same principles to the hybrid mobile shells.</w:t>
      </w:r>
    </w:p>
    <w:p>
      <w:pPr>
        <w:pStyle w:val="ListBullet"/>
        <w:spacing w:after="50"/>
      </w:pPr>
      <w:r>
        <w:t>Use semantic elements, visible focus states, correct labels, error associations and logical heading order. Test keyboard-only navigation on desktop.</w:t>
      </w:r>
    </w:p>
    <w:p>
      <w:pPr>
        <w:pStyle w:val="ListBullet"/>
        <w:spacing w:after="50"/>
      </w:pPr>
      <w:r>
        <w:t>Do not use color alone to communicate selected, error, reading-status or admin-state information.</w:t>
      </w:r>
    </w:p>
    <w:p>
      <w:pPr>
        <w:pStyle w:val="ListBullet"/>
        <w:spacing w:after="50"/>
      </w:pPr>
      <w:r>
        <w:t>Maintain comfortable touch targets; 44px is a good cross-platform product target even where formal accessibility minimums differ.</w:t>
      </w:r>
    </w:p>
    <w:p>
      <w:pPr>
        <w:pStyle w:val="ListBullet"/>
        <w:spacing w:after="50"/>
      </w:pPr>
      <w:r>
        <w:t>Support text zoom/reflow and avoid layouts that require horizontal scrolling for normal content at phone widths.</w:t>
      </w:r>
    </w:p>
    <w:p>
      <w:pPr>
        <w:pStyle w:val="SmallMuted"/>
        <w:spacing w:before="20" w:after="100"/>
      </w:pPr>
      <w:r>
        <w:rPr>
          <w:b/>
        </w:rPr>
        <w:t xml:space="preserve">Reference basis: </w:t>
      </w:r>
      <w:r>
        <w:t>R9, R10</w:t>
      </w:r>
    </w:p>
    <w:p>
      <w:pPr>
        <w:pStyle w:val="Heading2"/>
        <w:keepNext/>
        <w:keepLines/>
      </w:pPr>
      <w:r>
        <w:t>10.2 Drag-and-drop must never be the only path</w:t>
      </w:r>
    </w:p>
    <w:p>
      <w:r>
        <w:t>Because Linkiac uses drag-and-drop for links and nested folders, every drag operation should also have a non-drag alternative such as Move… / Change parent… from a menu or dialog. This improves accessibility, discoverability and reliability on touch devices.</w:t>
      </w:r>
    </w:p>
    <w:p>
      <w:pPr>
        <w:pStyle w:val="SmallMuted"/>
        <w:spacing w:before="20" w:after="100"/>
      </w:pPr>
      <w:r>
        <w:rPr>
          <w:b/>
        </w:rPr>
        <w:t xml:space="preserve">Reference basis: </w:t>
      </w:r>
      <w:r>
        <w:t>R10</w:t>
      </w:r>
    </w:p>
    <w:p>
      <w:pPr>
        <w:pStyle w:val="Heading2"/>
        <w:keepNext/>
        <w:keepLines/>
      </w:pPr>
      <w:r>
        <w:t>10.3 Mobile-specific interaction checks</w:t>
      </w:r>
    </w:p>
    <w:p>
      <w:pPr>
        <w:pStyle w:val="ListBullet"/>
        <w:spacing w:after="50"/>
      </w:pPr>
      <w:r>
        <w:t>Safe areas: no controls behind the notch, Dynamic Island/home indicator or gesture areas.</w:t>
      </w:r>
    </w:p>
    <w:p>
      <w:pPr>
        <w:pStyle w:val="ListBullet"/>
        <w:spacing w:after="50"/>
      </w:pPr>
      <w:r>
        <w:t>Software keyboard: focused fields remain visible; dialogs do not become unusable; submit/cancel controls remain reachable.</w:t>
      </w:r>
    </w:p>
    <w:p>
      <w:pPr>
        <w:pStyle w:val="ListBullet"/>
        <w:spacing w:after="50"/>
      </w:pPr>
      <w:r>
        <w:t>System back behavior: Android back/gesture should close modal layers before navigating away; iOS back gestures should not produce inconsistent WebView history.</w:t>
      </w:r>
    </w:p>
    <w:p>
      <w:pPr>
        <w:pStyle w:val="ListBullet"/>
        <w:spacing w:after="50"/>
      </w:pPr>
      <w:r>
        <w:t>Rotation/resizing: do not lose unsaved user input or selected items.</w:t>
      </w:r>
    </w:p>
    <w:p>
      <w:pPr>
        <w:pStyle w:val="ListBullet"/>
        <w:spacing w:after="50"/>
      </w:pPr>
      <w:r>
        <w:t>Reduced motion: honor prefers-reduced-motion and avoid motion that is required to understand navigation.</w:t>
      </w:r>
    </w:p>
    <w:p>
      <w:pPr>
        <w:pStyle w:val="Heading1"/>
        <w:keepNext/>
        <w:keepLines/>
      </w:pPr>
      <w:r>
        <w:t>11. Testing Strategy</w:t>
      </w:r>
    </w:p>
    <w:p>
      <w:pPr>
        <w:pStyle w:val="Heading2"/>
        <w:keepNext/>
        <w:keepLines/>
      </w:pPr>
      <w:r>
        <w:t>11.1 Use multiple test layers; do not depend on E2E alone</w:t>
      </w:r>
    </w:p>
    <w:tbl>
      <w:tblPr>
        <w:tblW w:type="auto" w:w="0"/>
        <w:jc w:val="center"/>
        <w:tblLayout w:type="fixed"/>
        <w:tblLook w:firstColumn="1" w:firstRow="1" w:lastColumn="0" w:lastRow="0" w:noHBand="0" w:noVBand="1" w:val="04A0"/>
      </w:tblPr>
      <w:tblGrid>
        <w:gridCol w:w="3312"/>
        <w:gridCol w:w="3312"/>
        <w:gridCol w:w="3312"/>
      </w:tblGrid>
      <w:tr>
        <w:trPr>
          <w:cantSplit/>
        </w:trPr>
        <w:tc>
          <w:tcPr>
            <w:tcW w:type="dxa" w:w="1656"/>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Layer</w:t>
            </w:r>
          </w:p>
        </w:tc>
        <w:tc>
          <w:tcPr>
            <w:tcW w:type="dxa" w:w="2448"/>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Best use</w:t>
            </w:r>
          </w:p>
        </w:tc>
        <w:tc>
          <w:tcPr>
            <w:tcW w:type="dxa" w:w="5688"/>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Examples for Linkiac</w:t>
            </w:r>
          </w:p>
        </w:tc>
      </w:tr>
      <w:tr>
        <w:trPr>
          <w:cantSplit/>
        </w:trPr>
        <w:tc>
          <w:tcPr>
            <w:tcW w:type="dxa" w:w="165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Unit</w:t>
            </w:r>
          </w:p>
        </w:tc>
        <w:tc>
          <w:tcPr>
            <w:tcW w:type="dxa" w:w="244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Fast business-rule feedback</w:t>
            </w:r>
          </w:p>
        </w:tc>
        <w:tc>
          <w:tcPr>
            <w:tcW w:type="dxa" w:w="568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Folder cycle detection, domain parsing, duplicate detection, permission policy functions.</w:t>
            </w:r>
          </w:p>
        </w:tc>
      </w:tr>
      <w:tr>
        <w:trPr>
          <w:cantSplit/>
        </w:trPr>
        <w:tc>
          <w:tcPr>
            <w:tcW w:type="dxa" w:w="165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Integration</w:t>
            </w:r>
          </w:p>
        </w:tc>
        <w:tc>
          <w:tcPr>
            <w:tcW w:type="dxa" w:w="244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Real boundaries without full UI</w:t>
            </w:r>
          </w:p>
        </w:tc>
        <w:tc>
          <w:tcPr>
            <w:tcW w:type="dxa" w:w="568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Repository queries, database constraints, auth middleware, preview-fetch policy, bookmark parser/exporter.</w:t>
            </w:r>
          </w:p>
        </w:tc>
      </w:tr>
      <w:tr>
        <w:trPr>
          <w:cantSplit/>
        </w:trPr>
        <w:tc>
          <w:tcPr>
            <w:tcW w:type="dxa" w:w="165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API/contract</w:t>
            </w:r>
          </w:p>
        </w:tc>
        <w:tc>
          <w:tcPr>
            <w:tcW w:type="dxa" w:w="244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Client-server compatibility</w:t>
            </w:r>
          </w:p>
        </w:tc>
        <w:tc>
          <w:tcPr>
            <w:tcW w:type="dxa" w:w="568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Request schemas, error codes, old mobile client compatibility, admin authorization.</w:t>
            </w:r>
          </w:p>
        </w:tc>
      </w:tr>
      <w:tr>
        <w:trPr>
          <w:cantSplit/>
        </w:trPr>
        <w:tc>
          <w:tcPr>
            <w:tcW w:type="dxa" w:w="165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End-to-end</w:t>
            </w:r>
          </w:p>
        </w:tc>
        <w:tc>
          <w:tcPr>
            <w:tcW w:type="dxa" w:w="244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Critical user journeys</w:t>
            </w:r>
          </w:p>
        </w:tc>
        <w:tc>
          <w:tcPr>
            <w:tcW w:type="dxa" w:w="568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Register/login, save/edit/delete link, friend/send/accept, bulk move/tag/delete, account deletion.</w:t>
            </w:r>
          </w:p>
        </w:tc>
      </w:tr>
      <w:tr>
        <w:trPr>
          <w:cantSplit/>
        </w:trPr>
        <w:tc>
          <w:tcPr>
            <w:tcW w:type="dxa" w:w="1656"/>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Native/device</w:t>
            </w:r>
          </w:p>
        </w:tc>
        <w:tc>
          <w:tcPr>
            <w:tcW w:type="dxa" w:w="244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Platform behavior</w:t>
            </w:r>
          </w:p>
        </w:tc>
        <w:tc>
          <w:tcPr>
            <w:tcW w:type="dxa" w:w="568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Deep links, WebView navigation, share target, file picker, keyboard, back gesture, app resume, offline state.</w:t>
            </w:r>
          </w:p>
        </w:tc>
      </w:tr>
    </w:tbl>
    <w:p>
      <w:pPr>
        <w:spacing w:after="20"/>
      </w:pPr>
    </w:p>
    <w:p>
      <w:pPr>
        <w:pStyle w:val="Heading2"/>
        <w:keepNext/>
        <w:keepLines/>
      </w:pPr>
      <w:r>
        <w:t>11.2 Prioritize tests around risk</w:t>
      </w:r>
    </w:p>
    <w:p>
      <w:pPr>
        <w:pStyle w:val="ListBullet"/>
        <w:spacing w:after="50"/>
      </w:pPr>
      <w:r>
        <w:t>Authorization tests should deliberately attempt cross-user access and admin access as a normal user.</w:t>
      </w:r>
    </w:p>
    <w:p>
      <w:pPr>
        <w:pStyle w:val="ListBullet"/>
        <w:spacing w:after="50"/>
      </w:pPr>
      <w:r>
        <w:t>Preview-fetch tests should include private IPs, redirects to private IPs, oversized responses, invalid certificates, slow endpoints, unusual schemes and malformed metadata.</w:t>
      </w:r>
    </w:p>
    <w:p>
      <w:pPr>
        <w:pStyle w:val="ListBullet"/>
        <w:spacing w:after="50"/>
      </w:pPr>
      <w:r>
        <w:t>Bookmark import/export needs “golden file” tests from Chrome/Firefox/Safari/Edge examples and round-trip tests that preserve supported hierarchy.</w:t>
      </w:r>
    </w:p>
    <w:p>
      <w:pPr>
        <w:pStyle w:val="ListBullet"/>
        <w:spacing w:after="50"/>
      </w:pPr>
      <w:r>
        <w:t>Database migration tests should run on non-empty representative snapshots, not only a blank local database.</w:t>
      </w:r>
    </w:p>
    <w:p>
      <w:pPr>
        <w:pStyle w:val="ListBullet"/>
        <w:spacing w:after="50"/>
      </w:pPr>
      <w:r>
        <w:t>Test interruption cases: background app mid-operation, network changes, token expiry, double submit and retried requests.</w:t>
      </w:r>
    </w:p>
    <w:p>
      <w:pPr>
        <w:pStyle w:val="Heading2"/>
        <w:keepNext/>
        <w:keepLines/>
      </w:pPr>
      <w:r>
        <w:t>11.3 Test on real devices before release</w:t>
      </w:r>
    </w:p>
    <w:p>
      <w:pPr>
        <w:pStyle w:val="ListBullet"/>
        <w:spacing w:after="50"/>
      </w:pPr>
      <w:r>
        <w:t>Emulators/simulators are necessary but not sufficient. Maintain a small physical-device matrix covering at least one current iPhone, one older supported iPhone, one modern Android and one lower/mid-range Android.</w:t>
      </w:r>
    </w:p>
    <w:p>
      <w:pPr>
        <w:pStyle w:val="ListBullet"/>
        <w:spacing w:after="50"/>
      </w:pPr>
      <w:r>
        <w:t>Use automated device labs to broaden Android OS/form-factor coverage when feasible, and test the latest OS versions before public release.</w:t>
      </w:r>
    </w:p>
    <w:p>
      <w:pPr>
        <w:pStyle w:val="SmallMuted"/>
        <w:spacing w:before="20" w:after="100"/>
      </w:pPr>
      <w:r>
        <w:rPr>
          <w:b/>
        </w:rPr>
        <w:t xml:space="preserve">Reference basis: </w:t>
      </w:r>
      <w:r>
        <w:t>R2</w:t>
      </w:r>
    </w:p>
    <w:p>
      <w:pPr>
        <w:pStyle w:val="Heading1"/>
        <w:keepNext/>
        <w:keepLines/>
      </w:pPr>
      <w:r>
        <w:t>12. Git, Code Review and Development Workflow</w:t>
      </w:r>
    </w:p>
    <w:p>
      <w:pPr>
        <w:pStyle w:val="Heading2"/>
        <w:keepNext/>
        <w:keepLines/>
      </w:pPr>
      <w:r>
        <w:t>12.1 Keep changes small and continuously integrated</w:t>
      </w:r>
    </w:p>
    <w:p>
      <w:pPr>
        <w:pStyle w:val="ListBullet"/>
        <w:spacing w:after="50"/>
      </w:pPr>
      <w:r>
        <w:t>Prefer short-lived branches and merge to main frequently. Long-running branches increase integration risk and make reviews less effective.</w:t>
      </w:r>
    </w:p>
    <w:p>
      <w:pPr>
        <w:pStyle w:val="ListBullet"/>
        <w:spacing w:after="50"/>
      </w:pPr>
      <w:r>
        <w:t>A pull request should usually have one coherent purpose. Split mechanical refactors, formatting sweeps and behavior changes where practical.</w:t>
      </w:r>
    </w:p>
    <w:p>
      <w:pPr>
        <w:pStyle w:val="ListBullet"/>
        <w:spacing w:after="50"/>
      </w:pPr>
      <w:r>
        <w:t>When the main build is broken, fixing or reverting it takes priority over starting new work.</w:t>
      </w:r>
    </w:p>
    <w:p>
      <w:pPr>
        <w:pStyle w:val="SmallMuted"/>
        <w:spacing w:before="20" w:after="100"/>
      </w:pPr>
      <w:r>
        <w:rPr>
          <w:b/>
        </w:rPr>
        <w:t xml:space="preserve">Reference basis: </w:t>
      </w:r>
      <w:r>
        <w:t>R12, R13, R14</w:t>
      </w:r>
    </w:p>
    <w:p>
      <w:pPr>
        <w:pStyle w:val="Heading2"/>
        <w:keepNext/>
        <w:keepLines/>
      </w:pPr>
      <w:r>
        <w:t>12.2 Make code review a design-quality gate, not a ritual</w:t>
      </w:r>
    </w:p>
    <w:tbl>
      <w:tblPr>
        <w:tblW w:type="auto" w:w="0"/>
        <w:jc w:val="center"/>
        <w:tblLayout w:type="fixed"/>
        <w:tblLook w:firstColumn="1" w:firstRow="1" w:lastColumn="0" w:lastRow="0" w:noHBand="0" w:noVBand="1" w:val="04A0"/>
      </w:tblPr>
      <w:tblGrid>
        <w:gridCol w:w="4968"/>
        <w:gridCol w:w="4968"/>
      </w:tblGrid>
      <w:tr>
        <w:trPr>
          <w:cantSplit/>
        </w:trPr>
        <w:tc>
          <w:tcPr>
            <w:tcW w:type="dxa" w:w="2232"/>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Reviewer asks</w:t>
            </w:r>
          </w:p>
        </w:tc>
        <w:tc>
          <w:tcPr>
            <w:tcW w:type="dxa" w:w="7560"/>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What good looks like</w:t>
            </w:r>
          </w:p>
        </w:tc>
      </w:tr>
      <w:tr>
        <w:trPr>
          <w:cantSplit/>
        </w:trPr>
        <w:tc>
          <w:tcPr>
            <w:tcW w:type="dxa" w:w="223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Correctness</w:t>
            </w:r>
          </w:p>
        </w:tc>
        <w:tc>
          <w:tcPr>
            <w:tcW w:type="dxa" w:w="756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Does it implement the requirement including failure/edge cases?</w:t>
            </w:r>
          </w:p>
        </w:tc>
      </w:tr>
      <w:tr>
        <w:trPr>
          <w:cantSplit/>
        </w:trPr>
        <w:tc>
          <w:tcPr>
            <w:tcW w:type="dxa" w:w="223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Security</w:t>
            </w:r>
          </w:p>
        </w:tc>
        <w:tc>
          <w:tcPr>
            <w:tcW w:type="dxa" w:w="756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Can a different user/admin state bypass authorization? Is new input untrusted?</w:t>
            </w:r>
          </w:p>
        </w:tc>
      </w:tr>
      <w:tr>
        <w:trPr>
          <w:cantSplit/>
        </w:trPr>
        <w:tc>
          <w:tcPr>
            <w:tcW w:type="dxa" w:w="223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Data safety</w:t>
            </w:r>
          </w:p>
        </w:tc>
        <w:tc>
          <w:tcPr>
            <w:tcW w:type="dxa" w:w="756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Can retries, partial failure or deletion leave inconsistent data?</w:t>
            </w:r>
          </w:p>
        </w:tc>
      </w:tr>
      <w:tr>
        <w:trPr>
          <w:cantSplit/>
        </w:trPr>
        <w:tc>
          <w:tcPr>
            <w:tcW w:type="dxa" w:w="223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Maintainability</w:t>
            </w:r>
          </w:p>
        </w:tc>
        <w:tc>
          <w:tcPr>
            <w:tcW w:type="dxa" w:w="756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Is responsibility in the correct module? Are names and contracts clear?</w:t>
            </w:r>
          </w:p>
        </w:tc>
      </w:tr>
      <w:tr>
        <w:trPr>
          <w:cantSplit/>
        </w:trPr>
        <w:tc>
          <w:tcPr>
            <w:tcW w:type="dxa" w:w="223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Testing</w:t>
            </w:r>
          </w:p>
        </w:tc>
        <w:tc>
          <w:tcPr>
            <w:tcW w:type="dxa" w:w="756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Do tests protect the behavior rather than mirror implementation details?</w:t>
            </w:r>
          </w:p>
        </w:tc>
      </w:tr>
      <w:tr>
        <w:trPr>
          <w:cantSplit/>
        </w:trPr>
        <w:tc>
          <w:tcPr>
            <w:tcW w:type="dxa" w:w="223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Operations</w:t>
            </w:r>
          </w:p>
        </w:tc>
        <w:tc>
          <w:tcPr>
            <w:tcW w:type="dxa" w:w="756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Will logs/metrics expose failure without leaking private data?</w:t>
            </w:r>
          </w:p>
        </w:tc>
      </w:tr>
      <w:tr>
        <w:trPr>
          <w:cantSplit/>
        </w:trPr>
        <w:tc>
          <w:tcPr>
            <w:tcW w:type="dxa" w:w="223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Compatibility</w:t>
            </w:r>
          </w:p>
        </w:tc>
        <w:tc>
          <w:tcPr>
            <w:tcW w:type="dxa" w:w="756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Will this break older installed mobile shells or ongoing requests during deployment?</w:t>
            </w:r>
          </w:p>
        </w:tc>
      </w:tr>
    </w:tbl>
    <w:p>
      <w:pPr>
        <w:spacing w:after="20"/>
      </w:pPr>
    </w:p>
    <w:p>
      <w:pPr>
        <w:pStyle w:val="Heading2"/>
        <w:keepNext/>
        <w:keepLines/>
      </w:pPr>
      <w:r>
        <w:t>12.3 Review hygiene</w:t>
      </w:r>
    </w:p>
    <w:p>
      <w:pPr>
        <w:pStyle w:val="ListBullet"/>
        <w:spacing w:after="50"/>
      </w:pPr>
      <w:r>
        <w:t>Authors review their own diff before requesting review.</w:t>
      </w:r>
    </w:p>
    <w:p>
      <w:pPr>
        <w:pStyle w:val="ListBullet"/>
        <w:spacing w:after="50"/>
      </w:pPr>
      <w:r>
        <w:t>Automate lint, formatting, type checks and obvious static-analysis issues so humans review design and behavior.</w:t>
      </w:r>
    </w:p>
    <w:p>
      <w:pPr>
        <w:pStyle w:val="ListBullet"/>
        <w:spacing w:after="50"/>
      </w:pPr>
      <w:r>
        <w:t>Resolve review discussions explicitly; do not silently change unrelated code until reviewers can no longer see what mattered.</w:t>
      </w:r>
    </w:p>
    <w:p>
      <w:pPr>
        <w:pStyle w:val="ListBullet"/>
        <w:spacing w:after="50"/>
      </w:pPr>
      <w:r>
        <w:t>Keep comments focused on future maintainability. Prefer explaining “why” in code/ADRs over narrating obvious “what”.</w:t>
      </w:r>
    </w:p>
    <w:p>
      <w:pPr>
        <w:pStyle w:val="Heading1"/>
        <w:keepNext/>
        <w:keepLines/>
      </w:pPr>
      <w:r>
        <w:t>13. CI/CD, Feature Flags and Release Management</w:t>
      </w:r>
    </w:p>
    <w:p>
      <w:pPr>
        <w:pStyle w:val="Heading2"/>
        <w:keepNext/>
        <w:keepLines/>
      </w:pPr>
      <w:r>
        <w:t>13.1 CI gates on every change</w:t>
      </w:r>
    </w:p>
    <w:p>
      <w:pPr>
        <w:pStyle w:val="ListBullet"/>
        <w:spacing w:after="50"/>
      </w:pPr>
      <w:r>
        <w:t>Install dependencies from lockfiles in a clean environment.</w:t>
      </w:r>
    </w:p>
    <w:p>
      <w:pPr>
        <w:pStyle w:val="ListBullet"/>
        <w:spacing w:after="50"/>
      </w:pPr>
      <w:r>
        <w:t>Run formatting/lint/type checks, fast tests, security/dependency scans, API contract checks and a production build.</w:t>
      </w:r>
    </w:p>
    <w:p>
      <w:pPr>
        <w:pStyle w:val="ListBullet"/>
        <w:spacing w:after="50"/>
      </w:pPr>
      <w:r>
        <w:t>Run database migration verification in CI. A build that compiles but cannot migrate safely is not releasable.</w:t>
      </w:r>
    </w:p>
    <w:p>
      <w:pPr>
        <w:pStyle w:val="ListBullet"/>
        <w:spacing w:after="50"/>
      </w:pPr>
      <w:r>
        <w:t>Publish immutable build artifacts and promote the same tested artifact through environments where possible.</w:t>
      </w:r>
    </w:p>
    <w:p>
      <w:pPr>
        <w:pStyle w:val="Heading2"/>
        <w:keepNext/>
        <w:keepLines/>
      </w:pPr>
      <w:r>
        <w:t>13.2 Separate deployment from release</w:t>
      </w:r>
    </w:p>
    <w:p>
      <w:r>
        <w:t>Feature flags can let incomplete or risky functionality ship disabled, then roll out gradually. They are useful but create branching complexity inside the running product, so every temporary flag needs an owner and removal date.</w:t>
      </w:r>
    </w:p>
    <w:p>
      <w:pPr>
        <w:pStyle w:val="ListBullet"/>
        <w:spacing w:after="50"/>
      </w:pPr>
      <w:r>
        <w:t>Use server-side flags for security-sensitive gating; a client-only flag is not access control.</w:t>
      </w:r>
    </w:p>
    <w:p>
      <w:pPr>
        <w:pStyle w:val="ListBullet"/>
        <w:spacing w:after="50"/>
      </w:pPr>
      <w:r>
        <w:t>Support a fast kill switch for integrations or features with significant operational risk.</w:t>
      </w:r>
    </w:p>
    <w:p>
      <w:pPr>
        <w:pStyle w:val="ListBullet"/>
        <w:spacing w:after="50"/>
      </w:pPr>
      <w:r>
        <w:t>Remove stale flags after rollout rather than accumulating permanent conditional paths.</w:t>
      </w:r>
    </w:p>
    <w:p>
      <w:pPr>
        <w:pStyle w:val="SmallMuted"/>
        <w:spacing w:before="20" w:after="100"/>
      </w:pPr>
      <w:r>
        <w:rPr>
          <w:b/>
        </w:rPr>
        <w:t xml:space="preserve">Reference basis: </w:t>
      </w:r>
      <w:r>
        <w:t>R16</w:t>
      </w:r>
    </w:p>
    <w:p>
      <w:pPr>
        <w:pStyle w:val="Heading2"/>
        <w:keepNext/>
        <w:keepLines/>
      </w:pPr>
      <w:r>
        <w:t>13.3 Respect the difference between web and app-store release cycles</w:t>
      </w:r>
    </w:p>
    <w:p>
      <w:pPr>
        <w:pStyle w:val="ListBullet"/>
        <w:spacing w:after="50"/>
      </w:pPr>
      <w:r>
        <w:t>Web/backend may deploy many times while mobile binaries remain installed for months. Keep API and bridge compatibility accordingly.</w:t>
      </w:r>
    </w:p>
    <w:p>
      <w:pPr>
        <w:pStyle w:val="ListBullet"/>
        <w:spacing w:after="50"/>
      </w:pPr>
      <w:r>
        <w:t>Use staged/phased rollouts where stores support them and monitor crash/error signals before expanding.</w:t>
      </w:r>
    </w:p>
    <w:p>
      <w:pPr>
        <w:pStyle w:val="ListBullet"/>
        <w:spacing w:after="50"/>
      </w:pPr>
      <w:r>
        <w:t>Maintain a release note and version mapping: web build, API version/schema, iOS version/build, Android version/code.</w:t>
      </w:r>
    </w:p>
    <w:p>
      <w:pPr>
        <w:pStyle w:val="ListBullet"/>
        <w:spacing w:after="50"/>
      </w:pPr>
      <w:r>
        <w:t>Have a remote minimum-supported-version mechanism only when genuinely needed; forced updates should be exceptional, not routine.</w:t>
      </w:r>
    </w:p>
    <w:p>
      <w:pPr>
        <w:pStyle w:val="SmallMuted"/>
        <w:spacing w:before="20" w:after="100"/>
      </w:pPr>
      <w:r>
        <w:rPr>
          <w:b/>
        </w:rPr>
        <w:t xml:space="preserve">Reference basis: </w:t>
      </w:r>
      <w:r>
        <w:t>R14</w:t>
      </w:r>
    </w:p>
    <w:p>
      <w:pPr>
        <w:pStyle w:val="Heading1"/>
        <w:keepNext/>
        <w:keepLines/>
      </w:pPr>
      <w:r>
        <w:t>14. Environments, Configuration and Secrets</w:t>
      </w:r>
    </w:p>
    <w:p>
      <w:pPr>
        <w:pStyle w:val="Heading2"/>
        <w:keepNext/>
        <w:keepLines/>
      </w:pPr>
      <w:r>
        <w:t>14.1 Keep environment differences in configuration</w:t>
      </w:r>
    </w:p>
    <w:p>
      <w:pPr>
        <w:pStyle w:val="ListBullet"/>
        <w:spacing w:after="50"/>
      </w:pPr>
      <w:r>
        <w:t>Use separate development, staging and production resources for databases, object storage, OAuth credentials, push configuration and external integrations.</w:t>
      </w:r>
    </w:p>
    <w:p>
      <w:pPr>
        <w:pStyle w:val="ListBullet"/>
        <w:spacing w:after="50"/>
      </w:pPr>
      <w:r>
        <w:t>Do not put secrets in source control, example files, mobile bundles or frontend environment variables that are compiled into JavaScript.</w:t>
      </w:r>
    </w:p>
    <w:p>
      <w:pPr>
        <w:pStyle w:val="ListBullet"/>
        <w:spacing w:after="50"/>
      </w:pPr>
      <w:r>
        <w:t>Production configuration should be auditable and reproducible. Avoid hand-editing servers as the normal deployment process.</w:t>
      </w:r>
    </w:p>
    <w:p>
      <w:pPr>
        <w:pStyle w:val="ListBullet"/>
        <w:spacing w:after="50"/>
      </w:pPr>
      <w:r>
        <w:t>Treat runtime processes as disposable/stateless where practical; store durable state in explicit backing services rather than local instance disk.</w:t>
      </w:r>
    </w:p>
    <w:p>
      <w:pPr>
        <w:pStyle w:val="SmallMuted"/>
        <w:spacing w:before="20" w:after="100"/>
      </w:pPr>
      <w:r>
        <w:rPr>
          <w:b/>
        </w:rPr>
        <w:t xml:space="preserve">Reference basis: </w:t>
      </w:r>
      <w:r>
        <w:t>R15</w:t>
      </w:r>
    </w:p>
    <w:p>
      <w:pPr>
        <w:pStyle w:val="Heading2"/>
        <w:keepNext/>
        <w:keepLines/>
      </w:pPr>
      <w:r>
        <w:t>14.2 Staging should be useful, not ceremonial</w:t>
      </w:r>
    </w:p>
    <w:p>
      <w:pPr>
        <w:pStyle w:val="ListBullet"/>
        <w:spacing w:after="50"/>
      </w:pPr>
      <w:r>
        <w:t>Match production architecture closely enough to exercise migrations, auth callbacks, storage, jobs and mobile-shell behavior.</w:t>
      </w:r>
    </w:p>
    <w:p>
      <w:pPr>
        <w:pStyle w:val="ListBullet"/>
        <w:spacing w:after="50"/>
      </w:pPr>
      <w:r>
        <w:t>Never copy real production user data into lower environments without a deliberate, privacy-safe anonymization process.</w:t>
      </w:r>
    </w:p>
    <w:p>
      <w:pPr>
        <w:pStyle w:val="ListBullet"/>
        <w:spacing w:after="50"/>
      </w:pPr>
      <w:r>
        <w:t>Use deterministic seed/demo data for QA so test cases are reproducible.</w:t>
      </w:r>
    </w:p>
    <w:p>
      <w:pPr>
        <w:pStyle w:val="Heading1"/>
        <w:keepNext/>
        <w:keepLines/>
      </w:pPr>
      <w:r>
        <w:t>15. Observability and Production Operations</w:t>
      </w:r>
    </w:p>
    <w:p>
      <w:pPr>
        <w:pStyle w:val="Heading2"/>
        <w:keepNext/>
        <w:keepLines/>
      </w:pPr>
      <w:r>
        <w:t>15.1 Instrument the system before you need to debug it</w:t>
      </w:r>
    </w:p>
    <w:tbl>
      <w:tblPr>
        <w:tblW w:type="auto" w:w="0"/>
        <w:jc w:val="center"/>
        <w:tblLayout w:type="fixed"/>
        <w:tblLook w:firstColumn="1" w:firstRow="1" w:lastColumn="0" w:lastRow="0" w:noHBand="0" w:noVBand="1" w:val="04A0"/>
      </w:tblPr>
      <w:tblGrid>
        <w:gridCol w:w="4968"/>
        <w:gridCol w:w="4968"/>
      </w:tblGrid>
      <w:tr>
        <w:trPr>
          <w:cantSplit/>
        </w:trPr>
        <w:tc>
          <w:tcPr>
            <w:tcW w:type="dxa" w:w="1944"/>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Signal</w:t>
            </w:r>
          </w:p>
        </w:tc>
        <w:tc>
          <w:tcPr>
            <w:tcW w:type="dxa" w:w="7848"/>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Minimum expectation</w:t>
            </w:r>
          </w:p>
        </w:tc>
      </w:tr>
      <w:tr>
        <w:trPr>
          <w:cantSplit/>
        </w:trPr>
        <w:tc>
          <w:tcPr>
            <w:tcW w:type="dxa" w:w="194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Structured logs</w:t>
            </w:r>
          </w:p>
        </w:tc>
        <w:tc>
          <w:tcPr>
            <w:tcW w:type="dxa" w:w="784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Request/correlation ID, route/use-case, outcome, duration and safe diagnostic context.</w:t>
            </w:r>
          </w:p>
        </w:tc>
      </w:tr>
      <w:tr>
        <w:trPr>
          <w:cantSplit/>
        </w:trPr>
        <w:tc>
          <w:tcPr>
            <w:tcW w:type="dxa" w:w="194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Error tracking</w:t>
            </w:r>
          </w:p>
        </w:tc>
        <w:tc>
          <w:tcPr>
            <w:tcW w:type="dxa" w:w="784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Backend exceptions plus web/iOS/Android crashes and unhandled client errors with release version.</w:t>
            </w:r>
          </w:p>
        </w:tc>
      </w:tr>
      <w:tr>
        <w:trPr>
          <w:cantSplit/>
        </w:trPr>
        <w:tc>
          <w:tcPr>
            <w:tcW w:type="dxa" w:w="194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Metrics</w:t>
            </w:r>
          </w:p>
        </w:tc>
        <w:tc>
          <w:tcPr>
            <w:tcW w:type="dxa" w:w="784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Request rate, error rate, latency, queue/job health, preview-fetch failures, auth failures and key business-flow success rates.</w:t>
            </w:r>
          </w:p>
        </w:tc>
      </w:tr>
      <w:tr>
        <w:trPr>
          <w:cantSplit/>
        </w:trPr>
        <w:tc>
          <w:tcPr>
            <w:tcW w:type="dxa" w:w="194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Tracing</w:t>
            </w:r>
          </w:p>
        </w:tc>
        <w:tc>
          <w:tcPr>
            <w:tcW w:type="dxa" w:w="784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Add when cross-component latency/failure becomes hard to locate; do not add complexity solely for fashion.</w:t>
            </w:r>
          </w:p>
        </w:tc>
      </w:tr>
      <w:tr>
        <w:trPr>
          <w:cantSplit/>
        </w:trPr>
        <w:tc>
          <w:tcPr>
            <w:tcW w:type="dxa" w:w="194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Audit events</w:t>
            </w:r>
          </w:p>
        </w:tc>
        <w:tc>
          <w:tcPr>
            <w:tcW w:type="dxa" w:w="784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Admin promotions/demotions, suspensions, reactivations and destructive account operations should be attributable.</w:t>
            </w:r>
          </w:p>
        </w:tc>
      </w:tr>
    </w:tbl>
    <w:p>
      <w:pPr>
        <w:spacing w:after="20"/>
      </w:pPr>
    </w:p>
    <w:p>
      <w:pPr>
        <w:pStyle w:val="Heading2"/>
        <w:keepNext/>
        <w:keepLines/>
      </w:pPr>
      <w:r>
        <w:t>15.2 Protect users in telemetry</w:t>
      </w:r>
    </w:p>
    <w:p>
      <w:pPr>
        <w:pStyle w:val="ListBullet"/>
        <w:spacing w:after="50"/>
      </w:pPr>
      <w:r>
        <w:t>Do not log passwords, tokens, session cookies, full authorization headers or reset links.</w:t>
      </w:r>
    </w:p>
    <w:p>
      <w:pPr>
        <w:pStyle w:val="ListBullet"/>
        <w:spacing w:after="50"/>
      </w:pPr>
      <w:r>
        <w:t>Avoid logging full private saved-link text/comments by default; use IDs and safe metadata for diagnosis.</w:t>
      </w:r>
    </w:p>
    <w:p>
      <w:pPr>
        <w:pStyle w:val="ListBullet"/>
        <w:spacing w:after="50"/>
      </w:pPr>
      <w:r>
        <w:t>Redact or hash personal identifiers when the raw value is not required operationally.</w:t>
      </w:r>
    </w:p>
    <w:p>
      <w:pPr>
        <w:pStyle w:val="ListBullet"/>
        <w:spacing w:after="50"/>
      </w:pPr>
      <w:r>
        <w:t>Define retention periods and access controls for logs/crash reports.</w:t>
      </w:r>
    </w:p>
    <w:p>
      <w:pPr>
        <w:pStyle w:val="Heading2"/>
        <w:keepNext/>
        <w:keepLines/>
      </w:pPr>
      <w:r>
        <w:t>15.3 Alert on user impact</w:t>
      </w:r>
    </w:p>
    <w:p>
      <w:pPr>
        <w:pStyle w:val="ListBullet"/>
        <w:spacing w:after="50"/>
      </w:pPr>
      <w:r>
        <w:t>Prefer alerts based on sustained error rate, latency, job backlog or failed critical journeys over every individual exception.</w:t>
      </w:r>
    </w:p>
    <w:p>
      <w:pPr>
        <w:pStyle w:val="ListBullet"/>
        <w:spacing w:after="50"/>
      </w:pPr>
      <w:r>
        <w:t>Every production alert should have an owner and a useful next step/runbook. Alerts nobody trusts become noise.</w:t>
      </w:r>
    </w:p>
    <w:p>
      <w:pPr>
        <w:pStyle w:val="ListBullet"/>
        <w:spacing w:after="50"/>
      </w:pPr>
      <w:r>
        <w:t>After serious incidents, write a blameless post-incident review focused on system improvements and missing safeguards.</w:t>
      </w:r>
    </w:p>
    <w:p>
      <w:pPr>
        <w:pStyle w:val="SmallMuted"/>
        <w:spacing w:before="20" w:after="100"/>
      </w:pPr>
      <w:r>
        <w:rPr>
          <w:b/>
        </w:rPr>
        <w:t xml:space="preserve">Reference basis: </w:t>
      </w:r>
      <w:r>
        <w:t>R15</w:t>
      </w:r>
    </w:p>
    <w:p>
      <w:pPr>
        <w:pStyle w:val="Heading1"/>
        <w:keepNext/>
        <w:keepLines/>
      </w:pPr>
      <w:r>
        <w:t>16. Dependency and Supply-Chain Hygiene</w:t>
      </w:r>
    </w:p>
    <w:p>
      <w:pPr>
        <w:pStyle w:val="ListBullet"/>
        <w:spacing w:after="50"/>
      </w:pPr>
      <w:r>
        <w:t>Pin/lock dependency versions and commit lockfiles. Reproducibility matters for both web and native builds.</w:t>
      </w:r>
    </w:p>
    <w:p>
      <w:pPr>
        <w:pStyle w:val="ListBullet"/>
        <w:spacing w:after="50"/>
      </w:pPr>
      <w:r>
        <w:t>Automate dependency update proposals and vulnerability alerts, but review changelogs for security-sensitive or major upgrades.</w:t>
      </w:r>
    </w:p>
    <w:p>
      <w:pPr>
        <w:pStyle w:val="ListBullet"/>
        <w:spacing w:after="50"/>
      </w:pPr>
      <w:r>
        <w:t>Remove unused dependencies; every package expands maintenance and supply-chain surface.</w:t>
      </w:r>
    </w:p>
    <w:p>
      <w:pPr>
        <w:pStyle w:val="ListBullet"/>
        <w:spacing w:after="50"/>
      </w:pPr>
      <w:r>
        <w:t>Run SAST/dependency scanning and secret scanning in CI. Add mobile-specific security checks against the OWASP MASVS/MASTG baseline before release.</w:t>
      </w:r>
    </w:p>
    <w:p>
      <w:pPr>
        <w:pStyle w:val="ListBullet"/>
        <w:spacing w:after="50"/>
      </w:pPr>
      <w:r>
        <w:t>Review licenses for dependencies that will ship in commercial/public clients.</w:t>
      </w:r>
    </w:p>
    <w:p>
      <w:pPr>
        <w:pStyle w:val="ListBullet"/>
        <w:spacing w:after="50"/>
      </w:pPr>
      <w:r>
        <w:t>Keep build tools, iOS SDK/Xcode and Android target SDK reasonably current; test upgrades continuously rather than as a once-a-year crisis.</w:t>
      </w:r>
    </w:p>
    <w:p>
      <w:pPr>
        <w:pStyle w:val="SmallMuted"/>
        <w:spacing w:before="20" w:after="100"/>
      </w:pPr>
      <w:r>
        <w:rPr>
          <w:b/>
        </w:rPr>
        <w:t xml:space="preserve">Reference basis: </w:t>
      </w:r>
      <w:r>
        <w:t>R4, R5</w:t>
      </w:r>
    </w:p>
    <w:p>
      <w:pPr>
        <w:pStyle w:val="Heading1"/>
        <w:keepNext/>
        <w:keepLines/>
      </w:pPr>
      <w:r>
        <w:t>17. Privacy and Data Lifecycle</w:t>
      </w:r>
    </w:p>
    <w:p>
      <w:pPr>
        <w:pStyle w:val="ListBullet"/>
        <w:spacing w:after="50"/>
      </w:pPr>
      <w:r>
        <w:t>Collect only data that has a product or operational purpose. “We might need it later” is not a data-retention policy.</w:t>
      </w:r>
    </w:p>
    <w:p>
      <w:pPr>
        <w:pStyle w:val="ListBullet"/>
        <w:spacing w:after="50"/>
      </w:pPr>
      <w:r>
        <w:t>Document where account data lives: primary DB, object storage, logs, analytics, email provider, crash reports and backups.</w:t>
      </w:r>
    </w:p>
    <w:p>
      <w:pPr>
        <w:pStyle w:val="ListBullet"/>
        <w:spacing w:after="50"/>
      </w:pPr>
      <w:r>
        <w:t>Account deletion should be a server-side workflow with idempotent cleanup. Distinguish immediate removal from active systems and eventual expiry from backups/log retention.</w:t>
      </w:r>
    </w:p>
    <w:p>
      <w:pPr>
        <w:pStyle w:val="ListBullet"/>
        <w:spacing w:after="50"/>
      </w:pPr>
      <w:r>
        <w:t>Make export/delete behavior testable. Destructive actions should require deliberate confirmation and produce auditable operational outcomes without retaining deleted content unnecessarily.</w:t>
      </w:r>
    </w:p>
    <w:p>
      <w:pPr>
        <w:pStyle w:val="ListBullet"/>
        <w:spacing w:after="50"/>
      </w:pPr>
      <w:r>
        <w:t>Use least privilege for database/service accounts and administrative tools.</w:t>
      </w:r>
    </w:p>
    <w:p>
      <w:pPr>
        <w:pStyle w:val="SmallMuted"/>
        <w:spacing w:before="20" w:after="100"/>
      </w:pPr>
      <w:r>
        <w:rPr>
          <w:b/>
        </w:rPr>
        <w:t xml:space="preserve">Reference basis: </w:t>
      </w:r>
      <w:r>
        <w:t>R4, R5</w:t>
      </w:r>
    </w:p>
    <w:p>
      <w:pPr>
        <w:pStyle w:val="Heading1"/>
        <w:keepNext/>
        <w:keepLines/>
      </w:pPr>
      <w:r>
        <w:t>18. Common Failure Patterns Experienced Teams Repeatedly Warn About</w:t>
      </w:r>
    </w:p>
    <w:tbl>
      <w:tblPr>
        <w:tblW w:type="auto" w:w="0"/>
        <w:jc w:val="center"/>
        <w:tblLayout w:type="fixed"/>
        <w:tblLook w:firstColumn="1" w:firstRow="1" w:lastColumn="0" w:lastRow="0" w:noHBand="0" w:noVBand="1" w:val="04A0"/>
      </w:tblPr>
      <w:tblGrid>
        <w:gridCol w:w="4968"/>
        <w:gridCol w:w="4968"/>
      </w:tblGrid>
      <w:tr>
        <w:trPr>
          <w:cantSplit/>
        </w:trPr>
        <w:tc>
          <w:tcPr>
            <w:tcW w:type="dxa" w:w="3384"/>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Avoid</w:t>
            </w:r>
          </w:p>
        </w:tc>
        <w:tc>
          <w:tcPr>
            <w:tcW w:type="dxa" w:w="6408"/>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Why it becomes expensive</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Premature microservices</w:t>
            </w:r>
          </w:p>
        </w:tc>
        <w:tc>
          <w:tcPr>
            <w:tcW w:type="dxa" w:w="640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Adds deployment/network/consistency complexity before boundaries and scale are proven.</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 separate product implementation for web, iOS and Android</w:t>
            </w:r>
          </w:p>
        </w:tc>
        <w:tc>
          <w:tcPr>
            <w:tcW w:type="dxa" w:w="640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Creates three sets of bugs and business rules; feature parity drifts quickly.</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Client-side-only authorization</w:t>
            </w:r>
          </w:p>
        </w:tc>
        <w:tc>
          <w:tcPr>
            <w:tcW w:type="dxa" w:w="640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Anyone can call the API directly or tamper with the app.</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Auth tokens in localStorage</w:t>
            </w:r>
          </w:p>
        </w:tc>
        <w:tc>
          <w:tcPr>
            <w:tcW w:type="dxa" w:w="640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A single XSS defect can expose the session credential.</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Blind URL-preview fetching</w:t>
            </w:r>
          </w:p>
        </w:tc>
        <w:tc>
          <w:tcPr>
            <w:tcW w:type="dxa" w:w="640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Creates a classic SSRF path into internal networks/metadata services.</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Huge pull requests</w:t>
            </w:r>
          </w:p>
        </w:tc>
        <w:tc>
          <w:tcPr>
            <w:tcW w:type="dxa" w:w="640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Harder to review, test, merge and revert; defects hide in unrelated changes.</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Only E2E tests</w:t>
            </w:r>
          </w:p>
        </w:tc>
        <w:tc>
          <w:tcPr>
            <w:tcW w:type="dxa" w:w="640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Slow, brittle feedback; simple domain bugs become expensive to diagnose.</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Only happy-path testing</w:t>
            </w:r>
          </w:p>
        </w:tc>
        <w:tc>
          <w:tcPr>
            <w:tcW w:type="dxa" w:w="640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Mobile networks, retries, app backgrounding and stale sessions expose unhandled states.</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Treating WebView as “just a website”</w:t>
            </w:r>
          </w:p>
        </w:tc>
        <w:tc>
          <w:tcPr>
            <w:tcW w:type="dxa" w:w="640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Breaks back behavior, keyboard, deep links, downloads, memory and store-quality expectations.</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Manual production changes</w:t>
            </w:r>
          </w:p>
        </w:tc>
        <w:tc>
          <w:tcPr>
            <w:tcW w:type="dxa" w:w="640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Creates configuration drift and irreproducible incidents.</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Verbose logs containing user content or secrets</w:t>
            </w:r>
          </w:p>
        </w:tc>
        <w:tc>
          <w:tcPr>
            <w:tcW w:type="dxa" w:w="640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Turns diagnostic tooling into a privacy/security liability.</w:t>
            </w:r>
          </w:p>
        </w:tc>
      </w:tr>
      <w:tr>
        <w:trPr>
          <w:cantSplit/>
        </w:trPr>
        <w:tc>
          <w:tcPr>
            <w:tcW w:type="dxa" w:w="3384"/>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Permanent temporary flags</w:t>
            </w:r>
          </w:p>
        </w:tc>
        <w:tc>
          <w:tcPr>
            <w:tcW w:type="dxa" w:w="6408"/>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Multiplies code paths and makes behavior hard to reason about.</w:t>
            </w:r>
          </w:p>
        </w:tc>
      </w:tr>
    </w:tbl>
    <w:p>
      <w:pPr>
        <w:spacing w:after="20"/>
      </w:pPr>
    </w:p>
    <w:p>
      <w:pPr>
        <w:pStyle w:val="SmallMuted"/>
        <w:spacing w:before="20" w:after="100"/>
      </w:pPr>
      <w:r>
        <w:rPr>
          <w:b/>
        </w:rPr>
        <w:t xml:space="preserve">Reference basis: </w:t>
      </w:r>
      <w:r>
        <w:t>R3, R6-R7, R12-R16, R18, R21</w:t>
      </w:r>
    </w:p>
    <w:p>
      <w:pPr>
        <w:pStyle w:val="Heading1"/>
        <w:keepNext/>
        <w:keepLines/>
      </w:pPr>
      <w:r>
        <w:t>19. Recommended Definition of Done</w:t>
      </w:r>
    </w:p>
    <w:p>
      <w:r>
        <w:t>A Linkiac feature should not be considered done merely because the happy path works on the author’s machine. For production work, the default Definition of Done should include:</w:t>
      </w:r>
    </w:p>
    <w:p>
      <w:pPr>
        <w:pStyle w:val="ListBullet"/>
        <w:spacing w:after="50"/>
      </w:pPr>
      <w:r>
        <w:t>Product acceptance criteria implemented, including error/empty/loading states.</w:t>
      </w:r>
    </w:p>
    <w:p>
      <w:pPr>
        <w:pStyle w:val="ListBullet"/>
        <w:spacing w:after="50"/>
      </w:pPr>
      <w:r>
        <w:t>Authorization and ownership enforced server-side and covered by negative tests.</w:t>
      </w:r>
    </w:p>
    <w:p>
      <w:pPr>
        <w:pStyle w:val="ListBullet"/>
        <w:spacing w:after="50"/>
      </w:pPr>
      <w:r>
        <w:t>Input handling, output encoding and new security surface reviewed.</w:t>
      </w:r>
    </w:p>
    <w:p>
      <w:pPr>
        <w:pStyle w:val="ListBullet"/>
        <w:spacing w:after="50"/>
      </w:pPr>
      <w:r>
        <w:t>Unit/integration coverage for domain behavior; E2E coverage added or updated when the user journey is critical.</w:t>
      </w:r>
    </w:p>
    <w:p>
      <w:pPr>
        <w:pStyle w:val="ListBullet"/>
        <w:spacing w:after="50"/>
      </w:pPr>
      <w:r>
        <w:t>Responsive behavior checked on desktop and phone widths; keyboard and screen-reader semantics considered.</w:t>
      </w:r>
    </w:p>
    <w:p>
      <w:pPr>
        <w:pStyle w:val="ListBullet"/>
        <w:spacing w:after="50"/>
      </w:pPr>
      <w:r>
        <w:t>iOS/Android shell compatibility assessed when a web/API/bridge change can affect installed apps.</w:t>
      </w:r>
    </w:p>
    <w:p>
      <w:pPr>
        <w:pStyle w:val="ListBullet"/>
        <w:spacing w:after="50"/>
      </w:pPr>
      <w:r>
        <w:t>Database migration and backward compatibility verified if persistence changed.</w:t>
      </w:r>
    </w:p>
    <w:p>
      <w:pPr>
        <w:pStyle w:val="ListBullet"/>
        <w:spacing w:after="50"/>
      </w:pPr>
      <w:r>
        <w:t>Logs/metrics/error reporting are sufficient to diagnose likely production failures without exposing private data.</w:t>
      </w:r>
    </w:p>
    <w:p>
      <w:pPr>
        <w:pStyle w:val="ListBullet"/>
        <w:spacing w:after="50"/>
      </w:pPr>
      <w:r>
        <w:t>No new lint/type/build/security warnings; CI green.</w:t>
      </w:r>
    </w:p>
    <w:p>
      <w:pPr>
        <w:pStyle w:val="ListBullet"/>
        <w:spacing w:after="50"/>
      </w:pPr>
      <w:r>
        <w:t>Documentation/ADR/API contract updated where future developers need the decision context.</w:t>
      </w:r>
    </w:p>
    <w:p>
      <w:pPr>
        <w:pStyle w:val="ListBullet"/>
        <w:spacing w:after="50"/>
      </w:pPr>
      <w:r>
        <w:t>Feature flag has owner/removal plan if used.</w:t>
      </w:r>
    </w:p>
    <w:p>
      <w:pPr>
        <w:pStyle w:val="ListBullet"/>
        <w:spacing w:after="50"/>
      </w:pPr>
      <w:r>
        <w:t>QA evidence captured for the highest-risk paths and real-device testing completed when platform behavior changed.</w:t>
      </w:r>
    </w:p>
    <w:p>
      <w:pPr>
        <w:pStyle w:val="Heading1"/>
        <w:keepNext/>
        <w:keepLines/>
      </w:pPr>
      <w:r>
        <w:t>20. Release Readiness Checklists</w:t>
      </w:r>
    </w:p>
    <w:p>
      <w:pPr>
        <w:pStyle w:val="Heading2"/>
        <w:keepNext/>
        <w:keepLines/>
      </w:pPr>
      <w:r>
        <w:t>20.1 Backend / web</w:t>
      </w:r>
    </w:p>
    <w:p>
      <w:pPr>
        <w:pStyle w:val="ListBullet"/>
        <w:spacing w:after="50"/>
      </w:pPr>
      <w:r>
        <w:t>Production build reproducible from CI; dependencies locked.</w:t>
      </w:r>
    </w:p>
    <w:p>
      <w:pPr>
        <w:pStyle w:val="ListBullet"/>
        <w:spacing w:after="50"/>
      </w:pPr>
      <w:r>
        <w:t>Migrations tested on realistic non-empty data; backups/restoration plan validated for risky changes.</w:t>
      </w:r>
    </w:p>
    <w:p>
      <w:pPr>
        <w:pStyle w:val="ListBullet"/>
        <w:spacing w:after="50"/>
      </w:pPr>
      <w:r>
        <w:t>No client-only authorization assumptions; rate limits/abuse controls reviewed for new public endpoints.</w:t>
      </w:r>
    </w:p>
    <w:p>
      <w:pPr>
        <w:pStyle w:val="ListBullet"/>
        <w:spacing w:after="50"/>
      </w:pPr>
      <w:r>
        <w:t>CSP/security headers and HTTPS behavior verified.</w:t>
      </w:r>
    </w:p>
    <w:p>
      <w:pPr>
        <w:pStyle w:val="ListBullet"/>
        <w:spacing w:after="50"/>
      </w:pPr>
      <w:r>
        <w:t>Core Web Vitals and major bundle/image regressions checked.</w:t>
      </w:r>
    </w:p>
    <w:p>
      <w:pPr>
        <w:pStyle w:val="ListBullet"/>
        <w:spacing w:after="50"/>
      </w:pPr>
      <w:r>
        <w:t>Critical E2E smoke suite passes against the release candidate.</w:t>
      </w:r>
    </w:p>
    <w:p>
      <w:pPr>
        <w:pStyle w:val="ListBullet"/>
        <w:spacing w:after="50"/>
      </w:pPr>
      <w:r>
        <w:t>Dashboards/alerts recognize the new release and can distinguish version-specific failures.</w:t>
      </w:r>
    </w:p>
    <w:p>
      <w:pPr>
        <w:pStyle w:val="Heading2"/>
        <w:keepNext/>
        <w:keepLines/>
      </w:pPr>
      <w:r>
        <w:t>20.2 iOS</w:t>
      </w:r>
    </w:p>
    <w:p>
      <w:pPr>
        <w:pStyle w:val="ListBullet"/>
        <w:spacing w:after="50"/>
      </w:pPr>
      <w:r>
        <w:t>Test current and oldest supported iOS versions on real devices.</w:t>
      </w:r>
    </w:p>
    <w:p>
      <w:pPr>
        <w:pStyle w:val="ListBullet"/>
        <w:spacing w:after="50"/>
      </w:pPr>
      <w:r>
        <w:t>Safe areas, keyboard, app background/foreground, deep links, share flow, file/image selection and external-link routing verified.</w:t>
      </w:r>
    </w:p>
    <w:p>
      <w:pPr>
        <w:pStyle w:val="ListBullet"/>
        <w:spacing w:after="50"/>
      </w:pPr>
      <w:r>
        <w:t>WKWebView only navigates trusted app origins internally; native bridge surface reviewed.</w:t>
      </w:r>
    </w:p>
    <w:p>
      <w:pPr>
        <w:pStyle w:val="ListBullet"/>
        <w:spacing w:after="50"/>
      </w:pPr>
      <w:r>
        <w:t>Secrets/tokens stored using secure platform storage if native persistence is required.</w:t>
      </w:r>
    </w:p>
    <w:p>
      <w:pPr>
        <w:pStyle w:val="ListBullet"/>
        <w:spacing w:after="50"/>
      </w:pPr>
      <w:r>
        <w:t>App offers sufficient app-like utility and store metadata/privacy declarations match actual behavior.</w:t>
      </w:r>
    </w:p>
    <w:p>
      <w:pPr>
        <w:pStyle w:val="ListBullet"/>
        <w:spacing w:after="50"/>
      </w:pPr>
      <w:r>
        <w:t>Crash reporting symbolication and release versioning verified before phased rollout.</w:t>
      </w:r>
    </w:p>
    <w:p>
      <w:pPr>
        <w:pStyle w:val="Heading2"/>
        <w:keepNext/>
        <w:keepLines/>
      </w:pPr>
      <w:r>
        <w:t>20.3 Android</w:t>
      </w:r>
    </w:p>
    <w:p>
      <w:pPr>
        <w:pStyle w:val="ListBullet"/>
        <w:spacing w:after="50"/>
      </w:pPr>
      <w:r>
        <w:t>Test representative OS/device classes, including a lower/mid-range real device and latest Android.</w:t>
      </w:r>
    </w:p>
    <w:p>
      <w:pPr>
        <w:pStyle w:val="ListBullet"/>
        <w:spacing w:after="50"/>
      </w:pPr>
      <w:r>
        <w:t>Back gesture, keyboard, rotation/resizing, deep links, share flow, file/image selection, downloads and offline behavior verified.</w:t>
      </w:r>
    </w:p>
    <w:p>
      <w:pPr>
        <w:pStyle w:val="ListBullet"/>
        <w:spacing w:after="50"/>
      </w:pPr>
      <w:r>
        <w:t>WebView debugging disabled for production where applicable; unnecessary popup/window/file access not enabled.</w:t>
      </w:r>
    </w:p>
    <w:p>
      <w:pPr>
        <w:pStyle w:val="ListBullet"/>
        <w:spacing w:after="50"/>
      </w:pPr>
      <w:r>
        <w:t>WebView lifecycle/memory behavior checked; no obvious leak/ANR path.</w:t>
      </w:r>
    </w:p>
    <w:p>
      <w:pPr>
        <w:pStyle w:val="ListBullet"/>
        <w:spacing w:after="50"/>
      </w:pPr>
      <w:r>
        <w:t>Target SDK/store-policy compliance and Play pre-launch/vitals feedback reviewed.</w:t>
      </w:r>
    </w:p>
    <w:p>
      <w:pPr>
        <w:pStyle w:val="ListBullet"/>
        <w:spacing w:after="50"/>
      </w:pPr>
      <w:r>
        <w:t>Staged rollout and crash/ANR monitoring ready.</w:t>
      </w:r>
    </w:p>
    <w:p>
      <w:pPr>
        <w:pStyle w:val="SmallMuted"/>
        <w:spacing w:before="20" w:after="100"/>
      </w:pPr>
      <w:r>
        <w:rPr>
          <w:b/>
        </w:rPr>
        <w:t xml:space="preserve">Reference basis: </w:t>
      </w:r>
      <w:r>
        <w:t>R2, R3, R18, R20</w:t>
      </w:r>
    </w:p>
    <w:p>
      <w:pPr>
        <w:pStyle w:val="Heading1"/>
        <w:keepNext/>
        <w:keepLines/>
      </w:pPr>
      <w:r>
        <w:t>21. Recommended Engineering Priorities for Linkiac</w:t>
      </w:r>
    </w:p>
    <w:p>
      <w:r>
        <w:t>If the senior developer is inheriting an AI-generated or prototype codebase, do not immediately add more features. First establish confidence in the foundations. A practical order is:</w:t>
      </w:r>
    </w:p>
    <w:tbl>
      <w:tblPr>
        <w:tblW w:type="auto" w:w="0"/>
        <w:jc w:val="center"/>
        <w:tblLayout w:type="fixed"/>
        <w:tblLook w:firstColumn="1" w:firstRow="1" w:lastColumn="0" w:lastRow="0" w:noHBand="0" w:noVBand="1" w:val="04A0"/>
      </w:tblPr>
      <w:tblGrid>
        <w:gridCol w:w="4968"/>
        <w:gridCol w:w="4968"/>
      </w:tblGrid>
      <w:tr>
        <w:trPr>
          <w:cantSplit/>
        </w:trPr>
        <w:tc>
          <w:tcPr>
            <w:tcW w:type="dxa" w:w="1152"/>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Priority</w:t>
            </w:r>
          </w:p>
        </w:tc>
        <w:tc>
          <w:tcPr>
            <w:tcW w:type="dxa" w:w="8640"/>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pPr>
              <w:spacing w:after="0"/>
            </w:pPr>
            <w:r>
              <w:rPr>
                <w:b/>
                <w:color w:val="3730A3"/>
                <w:sz w:val="17"/>
              </w:rPr>
              <w:t>Action</w:t>
            </w:r>
          </w:p>
        </w:tc>
      </w:tr>
      <w:tr>
        <w:trPr>
          <w:cantSplit/>
        </w:trPr>
        <w:tc>
          <w:tcPr>
            <w:tcW w:type="dxa" w:w="11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P0</w:t>
            </w:r>
          </w:p>
        </w:tc>
        <w:tc>
          <w:tcPr>
            <w:tcW w:type="dxa" w:w="864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Map the current architecture and identify duplicated business rules, client-only security checks and data-model inconsistencies.</w:t>
            </w:r>
          </w:p>
        </w:tc>
      </w:tr>
      <w:tr>
        <w:trPr>
          <w:cantSplit/>
        </w:trPr>
        <w:tc>
          <w:tcPr>
            <w:tcW w:type="dxa" w:w="11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P0</w:t>
            </w:r>
          </w:p>
        </w:tc>
        <w:tc>
          <w:tcPr>
            <w:tcW w:type="dxa" w:w="864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Harden authentication/authorization, account suspension/deletion and admin privilege changes server-side.</w:t>
            </w:r>
          </w:p>
        </w:tc>
      </w:tr>
      <w:tr>
        <w:trPr>
          <w:cantSplit/>
        </w:trPr>
        <w:tc>
          <w:tcPr>
            <w:tcW w:type="dxa" w:w="11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P0</w:t>
            </w:r>
          </w:p>
        </w:tc>
        <w:tc>
          <w:tcPr>
            <w:tcW w:type="dxa" w:w="864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Isolate and secure link-preview fetching against SSRF; enforce upload limits and output sanitization.</w:t>
            </w:r>
          </w:p>
        </w:tc>
      </w:tr>
      <w:tr>
        <w:trPr>
          <w:cantSplit/>
        </w:trPr>
        <w:tc>
          <w:tcPr>
            <w:tcW w:type="dxa" w:w="11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P0</w:t>
            </w:r>
          </w:p>
        </w:tc>
        <w:tc>
          <w:tcPr>
            <w:tcW w:type="dxa" w:w="864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Create automated database migrations, backups and a restore procedure; add critical constraints/indexes.</w:t>
            </w:r>
          </w:p>
        </w:tc>
      </w:tr>
      <w:tr>
        <w:trPr>
          <w:cantSplit/>
        </w:trPr>
        <w:tc>
          <w:tcPr>
            <w:tcW w:type="dxa" w:w="11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P0</w:t>
            </w:r>
          </w:p>
        </w:tc>
        <w:tc>
          <w:tcPr>
            <w:tcW w:type="dxa" w:w="864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Build CI with lint/type/test/build/security gates and a reproducible deployment path.</w:t>
            </w:r>
          </w:p>
        </w:tc>
      </w:tr>
      <w:tr>
        <w:trPr>
          <w:cantSplit/>
        </w:trPr>
        <w:tc>
          <w:tcPr>
            <w:tcW w:type="dxa" w:w="11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P1</w:t>
            </w:r>
          </w:p>
        </w:tc>
        <w:tc>
          <w:tcPr>
            <w:tcW w:type="dxa" w:w="864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Stabilize API contracts and add integration/E2E tests around library, friends, sends/inbox, bulk actions and import/export.</w:t>
            </w:r>
          </w:p>
        </w:tc>
      </w:tr>
      <w:tr>
        <w:trPr>
          <w:cantSplit/>
        </w:trPr>
        <w:tc>
          <w:tcPr>
            <w:tcW w:type="dxa" w:w="11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P1</w:t>
            </w:r>
          </w:p>
        </w:tc>
        <w:tc>
          <w:tcPr>
            <w:tcW w:type="dxa" w:w="864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Introduce structured logging, error/crash reporting and basic operational metrics before broader rollout.</w:t>
            </w:r>
          </w:p>
        </w:tc>
      </w:tr>
      <w:tr>
        <w:trPr>
          <w:cantSplit/>
        </w:trPr>
        <w:tc>
          <w:tcPr>
            <w:tcW w:type="dxa" w:w="11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P1</w:t>
            </w:r>
          </w:p>
        </w:tc>
        <w:tc>
          <w:tcPr>
            <w:tcW w:type="dxa" w:w="864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Harden WebView shells: origin policy, bridge contract, safe areas, lifecycle, deep links, share flow, secure storage and device tests.</w:t>
            </w:r>
          </w:p>
        </w:tc>
      </w:tr>
      <w:tr>
        <w:trPr>
          <w:cantSplit/>
        </w:trPr>
        <w:tc>
          <w:tcPr>
            <w:tcW w:type="dxa" w:w="11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P1</w:t>
            </w:r>
          </w:p>
        </w:tc>
        <w:tc>
          <w:tcPr>
            <w:tcW w:type="dxa" w:w="864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Run accessibility/responsive pass, especially non-drag alternatives and touch/keyboard behavior.</w:t>
            </w:r>
          </w:p>
        </w:tc>
      </w:tr>
      <w:tr>
        <w:trPr>
          <w:cantSplit/>
        </w:trPr>
        <w:tc>
          <w:tcPr>
            <w:tcW w:type="dxa" w:w="11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P2</w:t>
            </w:r>
          </w:p>
        </w:tc>
        <w:tc>
          <w:tcPr>
            <w:tcW w:type="dxa" w:w="864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Optimize measured performance bottlenecks and introduce caches/queues only where production evidence supports them.</w:t>
            </w:r>
          </w:p>
        </w:tc>
      </w:tr>
      <w:tr>
        <w:trPr>
          <w:cantSplit/>
        </w:trPr>
        <w:tc>
          <w:tcPr>
            <w:tcW w:type="dxa" w:w="1152"/>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P2</w:t>
            </w:r>
          </w:p>
        </w:tc>
        <w:tc>
          <w:tcPr>
            <w:tcW w:type="dxa" w:w="8640"/>
            <w:tcMar>
              <w:top w:w="70" w:type="dxa"/>
              <w:start w:w="90" w:type="dxa"/>
              <w:bottom w:w="70" w:type="dxa"/>
              <w:end w:w="90" w:type="dxa"/>
            </w:tcMar>
            <w:tcBorders>
              <w:top w:val="single" w:sz="4" w:color="D1D5DB"/>
              <w:left w:val="single" w:sz="4" w:color="D1D5DB"/>
              <w:bottom w:val="single" w:sz="4" w:color="D1D5DB"/>
              <w:right w:val="single" w:sz="4" w:color="D1D5DB"/>
            </w:tcBorders>
          </w:tcPr>
          <w:p>
            <w:pPr>
              <w:spacing w:after="0"/>
            </w:pPr>
            <w:r>
              <w:rPr>
                <w:sz w:val="17"/>
              </w:rPr>
              <w:t>Consider service extraction only after a module has a clear independent scaling/ownership/reliability need.</w:t>
            </w:r>
          </w:p>
        </w:tc>
      </w:tr>
    </w:tbl>
    <w:p>
      <w:pPr>
        <w:spacing w:after="20"/>
      </w:pPr>
    </w:p>
    <w:tbl>
      <w:tblPr>
        <w:tblW w:type="auto" w:w="0"/>
        <w:jc w:val="center"/>
        <w:tblLayout w:type="autofit"/>
        <w:tblLook w:firstColumn="1" w:firstRow="1" w:lastColumn="0" w:lastRow="0" w:noHBand="0" w:noVBand="1" w:val="04A0"/>
      </w:tblPr>
      <w:tblGrid>
        <w:gridCol w:w="9936"/>
      </w:tblGrid>
      <w:tr>
        <w:tc>
          <w:tcPr>
            <w:tcW w:type="dxa" w:w="9936"/>
            <w:shd w:fill="EEF2FF"/>
            <w:tcMar>
              <w:top w:w="90" w:type="dxa"/>
              <w:start w:w="110" w:type="dxa"/>
              <w:bottom w:w="90" w:type="dxa"/>
              <w:end w:w="110" w:type="dxa"/>
            </w:tcMar>
            <w:tcBorders>
              <w:top w:val="single" w:sz="6" w:color="D1D5DB"/>
              <w:left w:val="single" w:sz="6" w:color="D1D5DB"/>
              <w:bottom w:val="single" w:sz="6" w:color="D1D5DB"/>
              <w:right w:val="single" w:sz="6" w:color="D1D5DB"/>
            </w:tcBorders>
          </w:tcPr>
          <w:p>
            <w:pPr>
              <w:spacing w:after="0"/>
            </w:pPr>
            <w:r>
              <w:rPr>
                <w:b/>
                <w:color w:val="3730A3"/>
              </w:rPr>
              <w:t xml:space="preserve">Prototype-to-production rule  </w:t>
            </w:r>
            <w:r>
              <w:t>Assume generated code is untrusted until reviewed. AI acceleration can be useful for scaffolding and repetitive work, but architecture, security boundaries, migration safety, error handling and tests remain human engineering responsibilities.</w:t>
            </w:r>
          </w:p>
        </w:tc>
      </w:tr>
    </w:tbl>
    <w:p>
      <w:pPr>
        <w:spacing w:after="20"/>
      </w:pPr>
    </w:p>
    <w:p>
      <w:pPr>
        <w:pStyle w:val="Heading1"/>
        <w:keepNext/>
        <w:keepLines/>
      </w:pPr>
      <w:r>
        <w:t>22. Selected References and Community/Industry Basis</w:t>
      </w:r>
    </w:p>
    <w:p>
      <w:r>
        <w:t>The practices above synthesize official platform guidance, community-maintained security standards and delivery research. They are not copied checklists; they are adapted into defaults appropriate for a Linkiac-like web + hybrid mobile product. Sources were reviewed on 5 September 2026.</w:t>
      </w:r>
    </w:p>
    <w:tbl>
      <w:tblPr>
        <w:tblW w:type="auto" w:w="0"/>
        <w:jc w:val="center"/>
        <w:tblLayout w:type="fixed"/>
        <w:tblLook w:firstColumn="1" w:firstRow="1" w:lastColumn="0" w:lastRow="0" w:noHBand="0" w:noVBand="1" w:val="04A0"/>
      </w:tblPr>
      <w:tblGrid>
        <w:gridCol w:w="3312"/>
        <w:gridCol w:w="3312"/>
        <w:gridCol w:w="3312"/>
      </w:tblGrid>
      <w:tr>
        <w:tc>
          <w:tcPr>
            <w:tcW w:type="dxa" w:w="792"/>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r>
              <w:rPr>
                <w:b/>
                <w:color w:val="3730A3"/>
                <w:sz w:val="16"/>
              </w:rPr>
              <w:t>ID</w:t>
            </w:r>
          </w:p>
        </w:tc>
        <w:tc>
          <w:tcPr>
            <w:tcW w:type="dxa" w:w="6912"/>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r>
              <w:rPr>
                <w:b/>
                <w:color w:val="3730A3"/>
                <w:sz w:val="16"/>
              </w:rPr>
              <w:t>Source</w:t>
            </w:r>
          </w:p>
        </w:tc>
        <w:tc>
          <w:tcPr>
            <w:tcW w:type="dxa" w:w="2088"/>
            <w:shd w:fill="EEF2FF"/>
            <w:tcMar>
              <w:top w:w="70" w:type="dxa"/>
              <w:start w:w="90" w:type="dxa"/>
              <w:bottom w:w="70" w:type="dxa"/>
              <w:end w:w="90" w:type="dxa"/>
            </w:tcMar>
            <w:tcBorders>
              <w:top w:val="single" w:sz="5" w:color="D1D5DB"/>
              <w:left w:val="single" w:sz="5" w:color="D1D5DB"/>
              <w:bottom w:val="single" w:sz="5" w:color="D1D5DB"/>
              <w:right w:val="single" w:sz="5" w:color="D1D5DB"/>
            </w:tcBorders>
          </w:tcPr>
          <w:p>
            <w:r>
              <w:rPr>
                <w:b/>
                <w:color w:val="3730A3"/>
                <w:sz w:val="16"/>
              </w:rPr>
              <w:t>Link</w:t>
            </w:r>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R1</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Android Developers — Guide to app architecture</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11">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R2</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Android Developers — Core app quality guidelines</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12">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R3</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Apple Developer — App Review Guidelines, including 4.2 Minimum Functionality</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13">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R4</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OWASP — Application Security Verification Standard (ASVS), current stable 5.0.0</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14">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R5</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OWASP — Mobile Application Security Verification Standard (MASVS)</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15">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R6</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OWASP Cheat Sheet Series — Server Side Request Forgery Prevention</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16">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R7</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OWASP Cheat Sheet Series — Session Management</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17">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R8</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OWASP Cheat Sheet Series — Password Storage</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18">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R9</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W3C — Web Content Accessibility Guidelines (WCAG) 2.2</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19">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R10</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W3C — Guidance on Applying WCAG 2.2 to Mobile Applications (WCAG2Mobile)</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20">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R11</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web.dev — Core Web Vitals / Web performance guidance</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21">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R12</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DORA — Continuous integration</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22">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R13</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DORA — Trunk-based development</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23">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R14</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DORA — Continuous delivery and working in small batches</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24">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R15</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The Twelve-Factor App — Processes / Logs and operational principles</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25">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R16</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Martin Fowler / Pete Hodgson — Feature Toggles</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26">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R17</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MDN — Web Security and Content Security Policy</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27">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R18</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Android Developers — Build web apps in WebView</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28">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R19</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Apple Developer — Keychain Services</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29">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R20</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Google Play — Spam policy, including WebView/repetitive-content guidance</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30">
              <w:r>
                <w:rPr>
                  <w:color w:val="4F46E5"/>
                  <w:u w:val="single"/>
                  <w:rFonts w:ascii="Aptos" w:hAnsi="Aptos"/>
                  <w:sz w:val="18"/>
                </w:rPr>
                <w:t>Open source</w:t>
              </w:r>
            </w:hyperlink>
          </w:p>
        </w:tc>
      </w:tr>
      <w:tr>
        <w:trPr>
          <w:cantSplit/>
        </w:trPr>
        <w:tc>
          <w:tcPr>
            <w:tcW w:type="dxa" w:w="792"/>
            <w:tcMar>
              <w:top w:w="60" w:type="dxa"/>
              <w:start w:w="70" w:type="dxa"/>
              <w:bottom w:w="60" w:type="dxa"/>
              <w:end w:w="70" w:type="dxa"/>
            </w:tcMar>
            <w:tcBorders>
              <w:top w:val="single" w:sz="4" w:color="D1D5DB"/>
              <w:left w:val="single" w:sz="4" w:color="D1D5DB"/>
              <w:bottom w:val="single" w:sz="4" w:color="D1D5DB"/>
              <w:right w:val="single" w:sz="4" w:color="D1D5DB"/>
            </w:tcBorders>
          </w:tcPr>
          <w:p>
            <w:r>
              <w:rPr>
                <w:b/>
                <w:sz w:val="15"/>
              </w:rPr>
              <w:t>R21</w:t>
            </w:r>
          </w:p>
        </w:tc>
        <w:tc>
          <w:tcPr>
            <w:tcW w:type="dxa" w:w="6912"/>
            <w:tcMar>
              <w:top w:w="60" w:type="dxa"/>
              <w:start w:w="70" w:type="dxa"/>
              <w:bottom w:w="60" w:type="dxa"/>
              <w:end w:w="70" w:type="dxa"/>
            </w:tcMar>
            <w:tcBorders>
              <w:top w:val="single" w:sz="4" w:color="D1D5DB"/>
              <w:left w:val="single" w:sz="4" w:color="D1D5DB"/>
              <w:bottom w:val="single" w:sz="4" w:color="D1D5DB"/>
              <w:right w:val="single" w:sz="4" w:color="D1D5DB"/>
            </w:tcBorders>
          </w:tcPr>
          <w:p>
            <w:r>
              <w:rPr>
                <w:sz w:val="15"/>
              </w:rPr>
              <w:t>Martin Fowler — Monolith First / Microservice Premium</w:t>
            </w:r>
          </w:p>
        </w:tc>
        <w:tc>
          <w:tcPr>
            <w:tcW w:type="dxa" w:w="2088"/>
            <w:tcMar>
              <w:top w:w="60" w:type="dxa"/>
              <w:start w:w="70" w:type="dxa"/>
              <w:bottom w:w="60" w:type="dxa"/>
              <w:end w:w="70" w:type="dxa"/>
            </w:tcMar>
            <w:tcBorders>
              <w:top w:val="single" w:sz="4" w:color="D1D5DB"/>
              <w:left w:val="single" w:sz="4" w:color="D1D5DB"/>
              <w:bottom w:val="single" w:sz="4" w:color="D1D5DB"/>
              <w:right w:val="single" w:sz="4" w:color="D1D5DB"/>
            </w:tcBorders>
          </w:tcPr>
          <w:p>
            <w:hyperlink r:id="rId31">
              <w:r>
                <w:rPr>
                  <w:color w:val="4F46E5"/>
                  <w:u w:val="single"/>
                  <w:rFonts w:ascii="Aptos" w:hAnsi="Aptos"/>
                  <w:sz w:val="18"/>
                </w:rPr>
                <w:t>Open source</w:t>
              </w:r>
            </w:hyperlink>
          </w:p>
        </w:tc>
      </w:tr>
    </w:tbl>
    <w:p>
      <w:pPr>
        <w:spacing w:before="200" w:after="0"/>
      </w:pPr>
      <w:r>
        <w:rPr>
          <w:b/>
          <w:color w:val="3730A3"/>
        </w:rPr>
        <w:t xml:space="preserve">Engineering ownership note. </w:t>
      </w:r>
      <w:r>
        <w:t>Best practices are most valuable when they shorten feedback loops and make failure safer. The senior developer should adapt details to the chosen stack, record meaningful deviations, and keep this playbook updated as Linkiac’s scale, team and risk profile evolve.</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24"/>
      <w:gridCol w:w="4824"/>
    </w:tblGrid>
    <w:tr>
      <w:tc>
        <w:tcPr>
          <w:tcW w:type="dxa" w:w="4824"/>
          <w:tcMar>
            <w:top w:w="0" w:type="dxa"/>
            <w:start w:w="0" w:type="dxa"/>
            <w:bottom w:w="0" w:type="dxa"/>
            <w:end w:w="0" w:type="dxa"/>
          </w:tcMar>
        </w:tcPr>
        <w:p>
          <w:r>
            <w:rPr>
              <w:rFonts w:ascii="Aptos" w:hAnsi="Aptos"/>
              <w:color w:val="4B5563"/>
              <w:sz w:val="15"/>
            </w:rPr>
            <w:t>Engineering guidance  •  Version 1.0</w:t>
          </w:r>
        </w:p>
      </w:tc>
      <w:tc>
        <w:tcPr>
          <w:tcW w:type="dxa" w:w="4824"/>
          <w:tcMar>
            <w:top w:w="0" w:type="dxa"/>
            <w:start w:w="0" w:type="dxa"/>
            <w:bottom w:w="0" w:type="dxa"/>
            <w:end w:w="0" w:type="dxa"/>
          </w:tcMar>
        </w:tcPr>
        <w:p>
          <w:pPr>
            <w:jc w:val="right"/>
          </w:pPr>
          <w:r>
            <w:rPr>
              <w:rFonts w:ascii="Aptos" w:hAnsi="Aptos"/>
              <w:color w:val="4B5563"/>
              <w:sz w:val="15"/>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B5563"/>
        <w:sz w:val="16"/>
      </w:rPr>
      <w:t>LINKIAC  |  ENGINEERING BEST PRACTICES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730A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3730A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pPr>
      <w:spacing w:after="60"/>
    </w:pPr>
    <w:rPr>
      <w:rFonts w:ascii="Aptos" w:hAnsi="Aptos"/>
      <w:color w:val="4B5563"/>
      <w:sz w:val="16"/>
    </w:rPr>
  </w:style>
  <w:style w:type="paragraph" w:customStyle="1" w:styleId="Callout">
    <w:name w:val="Callout"/>
    <w:pPr>
      <w:spacing w:before="100" w:after="140"/>
      <w:ind w:left="259" w:right="259"/>
    </w:pPr>
    <w:rPr>
      <w:rFonts w:ascii="Aptos" w:hAnsi="Aptos"/>
      <w:color w:val="1F2937"/>
      <w:sz w:val="19"/>
    </w:rPr>
  </w:style>
  <w:style w:type="paragraph" w:customStyle="1" w:styleId="Req">
    <w:name w:val="Req"/>
    <w:pPr>
      <w:spacing w:after="60"/>
    </w:pPr>
    <w:rPr>
      <w:rFonts w:ascii="Aptos" w:hAnsi="Aptos"/>
      <w:color w:val="111827"/>
      <w:sz w:val="18"/>
    </w:rPr>
  </w:style>
  <w:style w:type="character" w:customStyle="1" w:styleId="CodeInline">
    <w:name w:val="CodeInline"/>
    <w:rPr>
      <w:rFonts w:ascii="Consolas" w:hAnsi="Consolas"/>
      <w:color w:val="1F2937"/>
      <w:sz w:val="17"/>
    </w:rPr>
  </w:style>
  <w:style w:type="character" w:customStyle="1" w:styleId="InlineCode">
    <w:name w:val="Inline Code"/>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ndroid.com/topic/architecture" TargetMode="External"/><Relationship Id="rId12" Type="http://schemas.openxmlformats.org/officeDocument/2006/relationships/hyperlink" Target="https://developer.android.com/docs/quality-guidelines/core-app-quality" TargetMode="External"/><Relationship Id="rId13" Type="http://schemas.openxmlformats.org/officeDocument/2006/relationships/hyperlink" Target="https://developer.apple.com/app-store/review/guidelines/" TargetMode="External"/><Relationship Id="rId14" Type="http://schemas.openxmlformats.org/officeDocument/2006/relationships/hyperlink" Target="https://owasp.org/www-project-application-security-verification-standard/" TargetMode="External"/><Relationship Id="rId15" Type="http://schemas.openxmlformats.org/officeDocument/2006/relationships/hyperlink" Target="https://mas.owasp.org/MASVS/" TargetMode="External"/><Relationship Id="rId16" Type="http://schemas.openxmlformats.org/officeDocument/2006/relationships/hyperlink" Target="https://cheatsheetseries.owasp.org/cheatsheets/Server_Side_Request_Forgery_Prevention_Cheat_Sheet.html" TargetMode="External"/><Relationship Id="rId17" Type="http://schemas.openxmlformats.org/officeDocument/2006/relationships/hyperlink" Target="https://cheatsheetseries.owasp.org/cheatsheets/Session_Management_Cheat_Sheet.html" TargetMode="External"/><Relationship Id="rId18" Type="http://schemas.openxmlformats.org/officeDocument/2006/relationships/hyperlink" Target="https://cheatsheetseries.owasp.org/cheatsheets/Password_Storage_Cheat_Sheet.html" TargetMode="External"/><Relationship Id="rId19" Type="http://schemas.openxmlformats.org/officeDocument/2006/relationships/hyperlink" Target="https://www.w3.org/TR/WCAG22/" TargetMode="External"/><Relationship Id="rId20" Type="http://schemas.openxmlformats.org/officeDocument/2006/relationships/hyperlink" Target="https://www.w3.org/TR/wcag2mobile-22/" TargetMode="External"/><Relationship Id="rId21" Type="http://schemas.openxmlformats.org/officeDocument/2006/relationships/hyperlink" Target="https://web.dev/articles/vitals" TargetMode="External"/><Relationship Id="rId22" Type="http://schemas.openxmlformats.org/officeDocument/2006/relationships/hyperlink" Target="https://dora.dev/capabilities/continuous-integration/" TargetMode="External"/><Relationship Id="rId23" Type="http://schemas.openxmlformats.org/officeDocument/2006/relationships/hyperlink" Target="https://dora.dev/capabilities/trunk-based-development/" TargetMode="External"/><Relationship Id="rId24" Type="http://schemas.openxmlformats.org/officeDocument/2006/relationships/hyperlink" Target="https://dora.dev/capabilities/continuous-delivery/" TargetMode="External"/><Relationship Id="rId25" Type="http://schemas.openxmlformats.org/officeDocument/2006/relationships/hyperlink" Target="https://12factor.net/" TargetMode="External"/><Relationship Id="rId26" Type="http://schemas.openxmlformats.org/officeDocument/2006/relationships/hyperlink" Target="https://martinfowler.com/articles/feature-toggles.html" TargetMode="External"/><Relationship Id="rId27" Type="http://schemas.openxmlformats.org/officeDocument/2006/relationships/hyperlink" Target="https://developer.mozilla.org/en-US/docs/Web/Security" TargetMode="External"/><Relationship Id="rId28" Type="http://schemas.openxmlformats.org/officeDocument/2006/relationships/hyperlink" Target="https://developer.android.com/develop/ui/views/layout/webapps/webview" TargetMode="External"/><Relationship Id="rId29" Type="http://schemas.openxmlformats.org/officeDocument/2006/relationships/hyperlink" Target="https://developer.apple.com/documentation/security/keychain-services" TargetMode="External"/><Relationship Id="rId30" Type="http://schemas.openxmlformats.org/officeDocument/2006/relationships/hyperlink" Target="https://support.google.com/googleplay/android-developer/answer/9899034" TargetMode="External"/><Relationship Id="rId31" Type="http://schemas.openxmlformats.org/officeDocument/2006/relationships/hyperlink" Target="https://martinfowler.com/bliki/MonolithFir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Linkiac Product Requirements Definition</dc:title>
  <dc:subject>Developer-ready Product Requirements Document for Linkiac</dc:subject>
  <dc:creator>Product Team</dc:creator>
  <cp:keywords>Linkiac, PRD, product requirements, link saving, bookmarks, mobile webview</cp:keywords>
  <dc:description>Consolidated from product prompts and prototype requirements.</dc:description>
  <cp:lastModifiedBy/>
  <cp:revision>1</cp:revision>
  <dcterms:created xsi:type="dcterms:W3CDTF">2013-12-23T23:15:00Z</dcterms:created>
  <dcterms:modified xsi:type="dcterms:W3CDTF">2013-12-23T23:15:00Z</dcterms:modified>
  <cp:category/>
</cp:coreProperties>
</file>