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CHOWDHURY HASAN MAHMUD</w:t>
      </w:r>
    </w:p>
    <w:p>
      <w:pPr>
        <w:spacing w:after="40"/>
        <w:jc w:val="center"/>
      </w:pPr>
      <w:r>
        <w:rPr>
          <w:rFonts w:ascii="Calibri" w:cs="Calibri" w:eastAsia="Calibri" w:hAnsi="Calibri"/>
          <w:b/>
          <w:bCs/>
          <w:color w:val="2E2E2E"/>
          <w:sz w:val="22"/>
          <w:szCs w:val="22"/>
        </w:rPr>
        <w:t xml:space="preserve">Senior ISSO | GRC &amp; Compliance Leader | NIST / FedRAMP / ISO 27001 / HIPAA / NYDFS</w:t>
      </w:r>
    </w:p>
    <w:p>
      <w:pPr>
        <w:spacing w:after="40"/>
        <w:jc w:val="center"/>
      </w:pPr>
      <w:r>
        <w:rPr>
          <w:rFonts w:ascii="Calibri" w:cs="Calibri" w:eastAsia="Calibri" w:hAnsi="Calibri"/>
          <w:i/>
          <w:iCs/>
          <w:sz w:val="18"/>
          <w:szCs w:val="18"/>
        </w:rPr>
        <w:t xml:space="preserve">CISM • CISA • PMP • CCSP • ITIL 4 • GSEC</w:t>
      </w:r>
    </w:p>
    <w:p>
      <w:pPr>
        <w:pBdr>
          <w:bottom w:val="single" w:color="1F3864" w:sz="8" w:space="4"/>
        </w:pBdr>
        <w:spacing w:after="160"/>
        <w:jc w:val="center"/>
      </w:pPr>
      <w:r>
        <w:rPr>
          <w:rFonts w:ascii="Calibri" w:cs="Calibri" w:eastAsia="Calibri" w:hAnsi="Calibri"/>
          <w:sz w:val="18"/>
          <w:szCs w:val="18"/>
        </w:rPr>
        <w:t xml:space="preserve">NYC Metro  |  (347) 836-2171  |  hasanpmpro@gmail.com  |  linkedin.com/in/chowdhury-hasan-mahmud  |  Open to Remote / Hybrid / Federal</w:t>
      </w:r>
    </w:p>
    <w:p>
      <w:pPr>
        <w:pStyle w:val="Heading1"/>
      </w:pPr>
      <w:r>
        <w:t xml:space="preserve">PROFESSIONAL SUMMARY</w:t>
      </w:r>
    </w:p>
    <w:p>
      <w:pPr>
        <w:spacing w:after="60"/>
      </w:pPr>
      <w:r>
        <w:t xml:space="preserve">Senior Information System Security Officer (ISSO) and GRC leader with 18 years driving authorization, continuous monitoring, and audit readiness for federal, state, city, and healthcare environments. Deep command of NIST 800-53 / RMF, SSP / POA&amp;M development, FedRAMP authorization, SOC 2 Type II, ISO 27001, HIPAA Security Rule, CJIS, and NYDFS Part 500. Currently Acting CISO / ISSO at FDNY, with proven experience closing findings, leading auditor engagements, and maturing GRC platforms. Expanding into AI governance (NIST AI RMF, ISO/IEC 42001, EU AI Act).</w:t>
      </w:r>
    </w:p>
    <w:p>
      <w:pPr>
        <w:pStyle w:val="Heading1"/>
      </w:pPr>
      <w:r>
        <w:t xml:space="preserve">CORE COMPETENCIES</w:t>
      </w:r>
    </w:p>
    <w:p>
      <w:pPr>
        <w:pStyle w:val="ListParagraph"/>
        <w:numPr>
          <w:ilvl w:val="0"/>
          <w:numId w:val="2"/>
        </w:numPr>
        <w:spacing w:after="40"/>
      </w:pPr>
      <w:r>
        <w:t xml:space="preserve">ISSO Duties: SSP, POA&amp;M, ATO, Continuous Monitoring, A&amp;A</w:t>
      </w:r>
    </w:p>
    <w:p>
      <w:pPr>
        <w:pStyle w:val="ListParagraph"/>
        <w:numPr>
          <w:ilvl w:val="0"/>
          <w:numId w:val="2"/>
        </w:numPr>
        <w:spacing w:after="40"/>
      </w:pPr>
      <w:r>
        <w:t xml:space="preserve">NIST 800-53 Rev 5, NIST CSF 2.0, NIST RMF, NIST AI RMF</w:t>
      </w:r>
    </w:p>
    <w:p>
      <w:pPr>
        <w:pStyle w:val="ListParagraph"/>
        <w:numPr>
          <w:ilvl w:val="0"/>
          <w:numId w:val="2"/>
        </w:numPr>
        <w:spacing w:after="40"/>
      </w:pPr>
      <w:r>
        <w:t xml:space="preserve">FedRAMP Moderate/High, SOC 2 Type II, ISO 27001, HIPAA, CJIS, NYDFS Part 500</w:t>
      </w:r>
    </w:p>
    <w:p>
      <w:pPr>
        <w:pStyle w:val="ListParagraph"/>
        <w:numPr>
          <w:ilvl w:val="0"/>
          <w:numId w:val="2"/>
        </w:numPr>
        <w:spacing w:after="40"/>
      </w:pPr>
      <w:r>
        <w:t xml:space="preserve">GRC Platforms: ServiceNow GRC, RSA Archer, MetricStream</w:t>
      </w:r>
    </w:p>
    <w:p>
      <w:pPr>
        <w:pStyle w:val="ListParagraph"/>
        <w:numPr>
          <w:ilvl w:val="0"/>
          <w:numId w:val="2"/>
        </w:numPr>
        <w:spacing w:after="40"/>
      </w:pPr>
      <w:r>
        <w:t xml:space="preserve">Internal / External Audit Coordination &amp; Evidence Management</w:t>
      </w:r>
    </w:p>
    <w:p>
      <w:pPr>
        <w:pStyle w:val="ListParagraph"/>
        <w:numPr>
          <w:ilvl w:val="0"/>
          <w:numId w:val="2"/>
        </w:numPr>
        <w:spacing w:after="40"/>
      </w:pPr>
      <w:r>
        <w:t xml:space="preserve">Third-Party Risk Management &amp; Vendor Security Assessments</w:t>
      </w:r>
    </w:p>
    <w:p>
      <w:pPr>
        <w:pStyle w:val="ListParagraph"/>
        <w:numPr>
          <w:ilvl w:val="0"/>
          <w:numId w:val="2"/>
        </w:numPr>
        <w:spacing w:after="40"/>
      </w:pPr>
      <w:r>
        <w:t xml:space="preserve">Security Control Assessment, Gap Analysis, Remediation Planning</w:t>
      </w:r>
    </w:p>
    <w:p>
      <w:pPr>
        <w:pStyle w:val="ListParagraph"/>
        <w:numPr>
          <w:ilvl w:val="0"/>
          <w:numId w:val="2"/>
        </w:numPr>
        <w:spacing w:after="40"/>
      </w:pPr>
      <w:r>
        <w:t xml:space="preserve">Policy, Standard &amp; Procedure Development</w:t>
      </w:r>
    </w:p>
    <w:p>
      <w:pPr>
        <w:pStyle w:val="ListParagraph"/>
        <w:numPr>
          <w:ilvl w:val="0"/>
          <w:numId w:val="2"/>
        </w:numPr>
        <w:spacing w:after="40"/>
      </w:pPr>
      <w:r>
        <w:t xml:space="preserve">AI Governance &amp; Model Risk Management</w:t>
      </w:r>
    </w:p>
    <w:p>
      <w:pPr>
        <w:pStyle w:val="Heading1"/>
      </w:pPr>
      <w:r>
        <w:t xml:space="preserve">CERTIFICATIONS</w:t>
      </w:r>
    </w:p>
    <w:p>
      <w:pPr>
        <w:spacing w:after="60"/>
      </w:pPr>
      <w:r>
        <w:t xml:space="preserve">CISM (ISACA) • CISA (ISACA) • CCSP (ISC²) • PMP (PMI) • ITIL 4 Foundation • GIAC GSEC • CCNA Security • (In Progress) IAPP AIGP, ISO/IEC 42001 Lead Implementer</w:t>
      </w:r>
    </w:p>
    <w:p>
      <w:pPr>
        <w:pStyle w:val="Heading1"/>
      </w:pPr>
      <w:r>
        <w:t xml:space="preserve">PROFESSIONAL EXPERIENCE</w:t>
      </w:r>
    </w:p>
    <w:p>
      <w:pPr>
        <w:pStyle w:val="Heading2"/>
      </w:pPr>
      <w:r>
        <w:t xml:space="preserve">Fire Department of the City of New York (FDNY) — Brooklyn, NY</w:t>
      </w:r>
    </w:p>
    <w:p>
      <w:pPr>
        <w:pStyle w:val="Heading3"/>
      </w:pPr>
      <w:r>
        <w:t xml:space="preserve">ISSO / Acting CISO — Senior Cybersecurity Posture Manager   |   2016 – Present</w:t>
      </w:r>
    </w:p>
    <w:p>
      <w:pPr>
        <w:pStyle w:val="ListParagraph"/>
        <w:numPr>
          <w:ilvl w:val="0"/>
          <w:numId w:val="2"/>
        </w:numPr>
        <w:spacing w:after="40"/>
      </w:pPr>
      <w:r>
        <w:t xml:space="preserve">Serve as ISSO for NYC’s largest public safety agency; maintain SSPs, POA&amp;Ms, and continuous monitoring artifacts for 911/CAD, EMS, and hybrid cloud systems.</w:t>
      </w:r>
    </w:p>
    <w:p>
      <w:pPr>
        <w:pStyle w:val="ListParagraph"/>
        <w:numPr>
          <w:ilvl w:val="0"/>
          <w:numId w:val="2"/>
        </w:numPr>
        <w:spacing w:after="40"/>
      </w:pPr>
      <w:r>
        <w:t xml:space="preserve">Led SOC 2 Type II audit (first major metropolitan fire department); delivered FedRAMP authorization for EMS cloud; sustained a 98% audit pass rate.</w:t>
      </w:r>
    </w:p>
    <w:p>
      <w:pPr>
        <w:pStyle w:val="ListParagraph"/>
        <w:numPr>
          <w:ilvl w:val="0"/>
          <w:numId w:val="2"/>
        </w:numPr>
        <w:spacing w:after="40"/>
      </w:pPr>
      <w:r>
        <w:t xml:space="preserve">Managed A&amp;A activities and control assessments aligned to NIST 800-53 Rev 5, NIST RMF, ISO 27001, HIPAA Security Rule, CJIS Policy v5.9, and NYDFS Part 500.</w:t>
      </w:r>
    </w:p>
    <w:p>
      <w:pPr>
        <w:pStyle w:val="ListParagraph"/>
        <w:numPr>
          <w:ilvl w:val="0"/>
          <w:numId w:val="2"/>
        </w:numPr>
        <w:spacing w:after="40"/>
      </w:pPr>
      <w:r>
        <w:t xml:space="preserve">Built a centralized GRC program using ServiceNow GRC and RSA Archer: risk register, KRIs, control library, and POA&amp;M tracking.</w:t>
      </w:r>
    </w:p>
    <w:p>
      <w:pPr>
        <w:pStyle w:val="ListParagraph"/>
        <w:numPr>
          <w:ilvl w:val="0"/>
          <w:numId w:val="2"/>
        </w:numPr>
        <w:spacing w:after="40"/>
      </w:pPr>
      <w:r>
        <w:t xml:space="preserve">Coordinated internal audit, external auditors, NY State, and federal regulators — providing SSP evidence, technical walkthroughs, and remediation plans.</w:t>
      </w:r>
    </w:p>
    <w:p>
      <w:pPr>
        <w:pStyle w:val="ListParagraph"/>
        <w:numPr>
          <w:ilvl w:val="0"/>
          <w:numId w:val="2"/>
        </w:numPr>
        <w:spacing w:after="40"/>
      </w:pPr>
      <w:r>
        <w:t xml:space="preserve">Established vendor security assessment program for 50+ third parties, including SIG questionnaires, SOC 2 review, and contractual security clauses.</w:t>
      </w:r>
    </w:p>
    <w:p>
      <w:pPr>
        <w:pStyle w:val="ListParagraph"/>
        <w:numPr>
          <w:ilvl w:val="0"/>
          <w:numId w:val="2"/>
        </w:numPr>
        <w:spacing w:after="40"/>
      </w:pPr>
      <w:r>
        <w:t xml:space="preserve">Defined AI governance controls (model inventory, data lineage, prompt/output logging, red-teaming) for GenAI and agentic use cases consistent with NIST AI RMF and ISO/IEC 42001.</w:t>
      </w:r>
    </w:p>
    <w:p>
      <w:pPr>
        <w:pStyle w:val="ListParagraph"/>
        <w:numPr>
          <w:ilvl w:val="0"/>
          <w:numId w:val="2"/>
        </w:numPr>
        <w:spacing w:after="40"/>
      </w:pPr>
      <w:r>
        <w:t xml:space="preserve">Led phishing/DMARC program with Global Cyber Alliance, reducing email spoofing by 90%.</w:t>
      </w:r>
    </w:p>
    <w:p>
      <w:pPr>
        <w:pStyle w:val="Heading2"/>
      </w:pPr>
      <w:r>
        <w:t xml:space="preserve">NYC Department of Health &amp; Mental Hygiene (DOHMH) — Queens, NY</w:t>
      </w:r>
    </w:p>
    <w:p>
      <w:pPr>
        <w:pStyle w:val="Heading3"/>
      </w:pPr>
      <w:r>
        <w:t xml:space="preserve">Cybersecurity &amp; Compliance Program Manager   |   2012 – 2016</w:t>
      </w:r>
    </w:p>
    <w:p>
      <w:pPr>
        <w:pStyle w:val="ListParagraph"/>
        <w:numPr>
          <w:ilvl w:val="0"/>
          <w:numId w:val="2"/>
        </w:numPr>
        <w:spacing w:after="40"/>
      </w:pPr>
      <w:r>
        <w:t xml:space="preserve">Managed enterprise cybersecurity and IT modernization programs for NYC Department of Health &amp; Mental Hygiene, securing 40+ healthcare applications serving 8.5M residents.</w:t>
      </w:r>
    </w:p>
    <w:p>
      <w:pPr>
        <w:pStyle w:val="ListParagraph"/>
        <w:numPr>
          <w:ilvl w:val="0"/>
          <w:numId w:val="2"/>
        </w:numPr>
        <w:spacing w:after="40"/>
      </w:pPr>
      <w:r>
        <w:t xml:space="preserve">Delivered HIPAA Security Rule, NYDFS Part 500, NIST CSF, and ISO 27001 compliance; implemented IAM, MFA, SIEM (Splunk), and vulnerability management across Azure and AWS.</w:t>
      </w:r>
    </w:p>
    <w:p>
      <w:pPr>
        <w:pStyle w:val="ListParagraph"/>
        <w:numPr>
          <w:ilvl w:val="0"/>
          <w:numId w:val="2"/>
        </w:numPr>
        <w:spacing w:after="40"/>
      </w:pPr>
      <w:r>
        <w:t xml:space="preserve">Led rapid security authorization of 15 emergency response platforms during COVID-19, meeting compressed timelines without compromising regulatory posture.</w:t>
      </w:r>
    </w:p>
    <w:p>
      <w:pPr>
        <w:pStyle w:val="ListParagraph"/>
        <w:numPr>
          <w:ilvl w:val="0"/>
          <w:numId w:val="2"/>
        </w:numPr>
        <w:spacing w:after="40"/>
      </w:pPr>
      <w:r>
        <w:t xml:space="preserve">Established DevSecOps pipeline practices, zero-trust architecture baselines, and cross-agency GRC processes adopted by C-Suite and city leadership.</w:t>
      </w:r>
    </w:p>
    <w:p>
      <w:pPr>
        <w:pStyle w:val="Heading2"/>
      </w:pPr>
      <w:r>
        <w:t xml:space="preserve">Earlier Experience</w:t>
      </w:r>
    </w:p>
    <w:p>
      <w:pPr>
        <w:pStyle w:val="ListParagraph"/>
        <w:numPr>
          <w:ilvl w:val="0"/>
          <w:numId w:val="2"/>
        </w:numPr>
        <w:spacing w:after="40"/>
      </w:pPr>
      <w:r>
        <w:t xml:space="preserve">Medisys Health Network — IT Risk Analyst &amp; Compliance Officer (2009–2012): Led HIPAA, SOX, and PCI-DSS compliance for a 3,000-user healthcare network; reduced critical exposures by 60% through automated vulnerability management and remediation workflows.</w:t>
      </w:r>
    </w:p>
    <w:p>
      <w:pPr>
        <w:pStyle w:val="ListParagraph"/>
        <w:numPr>
          <w:ilvl w:val="0"/>
          <w:numId w:val="2"/>
        </w:numPr>
        <w:spacing w:after="40"/>
      </w:pPr>
      <w:r>
        <w:t xml:space="preserve">G-Star RAW (Amsterdam, NL) — Risk &amp; IT Governance Analyst / EDI &amp; 3PL PM (2007–2009): Led controls, vendor risk reviews, EDI integration, and supply-chain technology projects for EU payment and health systems.</w:t>
      </w:r>
    </w:p>
    <w:p>
      <w:pPr>
        <w:pStyle w:val="ListParagraph"/>
        <w:numPr>
          <w:ilvl w:val="0"/>
          <w:numId w:val="2"/>
        </w:numPr>
        <w:spacing w:after="40"/>
      </w:pPr>
      <w:r>
        <w:t xml:space="preserve">King Saud Medical City (Riyadh, KSA) — Head of Technical &amp; EHR Development (2008–2012, concurrent): Directed hospital computerization, EMR, and IVR rollouts, migrating manual workflows to enterprise automation.</w:t>
      </w:r>
    </w:p>
    <w:p>
      <w:pPr>
        <w:pStyle w:val="Heading1"/>
      </w:pPr>
      <w:r>
        <w:t xml:space="preserve">TECHNICAL PROFICIENCIES</w:t>
      </w:r>
    </w:p>
    <w:p>
      <w:pPr>
        <w:spacing w:after="40"/>
      </w:pPr>
      <w:r>
        <w:rPr>
          <w:b/>
          <w:bCs/>
        </w:rPr>
        <w:t xml:space="preserve">AI &amp; Agentic Security: </w:t>
      </w:r>
      <w:r>
        <w:t xml:space="preserve">NIST AI RMF 1.0, ISO/IEC 42001, EU AI Act, OWASP LLM Top 10, MITRE ATLAS, LangChain/LlamaIndex security patterns, Model Context Protocol (MCP) security, prompt-injection &amp; jailbreak defense, AI red-teaming, Microsoft Security Copilot, Google SecLM, Azure AI Content Safety, Purview for AI governance</w:t>
      </w:r>
    </w:p>
    <w:p>
      <w:pPr>
        <w:spacing w:after="40"/>
      </w:pPr>
      <w:r>
        <w:rPr>
          <w:b/>
          <w:bCs/>
        </w:rPr>
        <w:t xml:space="preserve">Security Frameworks: </w:t>
      </w:r>
      <w:r>
        <w:t xml:space="preserve">NIST 800-53 / CSF / RMF, ISO 27001/27017/27018, SOC 2 Type II, FedRAMP, CJIS, HIPAA Security Rule, PCI-DSS, NYDFS Part 500, COBIT, CIS Controls v8</w:t>
      </w:r>
    </w:p>
    <w:p>
      <w:pPr>
        <w:spacing w:after="40"/>
      </w:pPr>
      <w:r>
        <w:rPr>
          <w:b/>
          <w:bCs/>
        </w:rPr>
        <w:t xml:space="preserve">Detection &amp; Response: </w:t>
      </w:r>
      <w:r>
        <w:t xml:space="preserve">CrowdStrike Falcon EDR/XDR, Splunk ES, IBM QRadar, LogRhythm, Microsoft Sentinel, ExtraHop, Carbon Black</w:t>
      </w:r>
    </w:p>
    <w:p>
      <w:pPr>
        <w:spacing w:after="40"/>
      </w:pPr>
      <w:r>
        <w:rPr>
          <w:b/>
          <w:bCs/>
        </w:rPr>
        <w:t xml:space="preserve">Cloud &amp; Network: </w:t>
      </w:r>
      <w:r>
        <w:t xml:space="preserve">Microsoft Azure (Defender, Sentinel, Purview), AWS (GuardDuty, Security Hub, IAM), CSPM, Palo Alto, Fortinet FortiGate/FortiNAC, Cisco Firepower, Zero-Trust Architecture</w:t>
      </w:r>
    </w:p>
    <w:p>
      <w:pPr>
        <w:spacing w:after="40"/>
      </w:pPr>
      <w:r>
        <w:rPr>
          <w:b/>
          <w:bCs/>
        </w:rPr>
        <w:t xml:space="preserve">IAM &amp; PAM: </w:t>
      </w:r>
      <w:r>
        <w:t xml:space="preserve">Okta, Azure AD/Entra ID, CyberArk, SailPoint IdentityIQ, SAML/OAuth/OIDC, MFA, PKI</w:t>
      </w:r>
    </w:p>
    <w:p>
      <w:pPr>
        <w:spacing w:after="40"/>
      </w:pPr>
      <w:r>
        <w:rPr>
          <w:b/>
          <w:bCs/>
        </w:rPr>
        <w:t xml:space="preserve">Vulnerability &amp; Offensive: </w:t>
      </w:r>
      <w:r>
        <w:t xml:space="preserve">Rapid7 InsightVM, Tenable Nessus, Qualys, ARMIS, Burp Suite Pro, Metasploit, OWASP ZAP</w:t>
      </w:r>
    </w:p>
    <w:p>
      <w:pPr>
        <w:spacing w:after="40"/>
      </w:pPr>
      <w:r>
        <w:rPr>
          <w:b/>
          <w:bCs/>
        </w:rPr>
        <w:t xml:space="preserve">DevSecOps &amp; Automation: </w:t>
      </w:r>
      <w:r>
        <w:t xml:space="preserve">Jenkins, GitHub Actions, GitLab CI/CD, Docker, Kubernetes, Terraform, IaC scanning, Python, PowerShell, Bash</w:t>
      </w:r>
    </w:p>
    <w:p>
      <w:pPr>
        <w:spacing w:after="40"/>
      </w:pPr>
      <w:r>
        <w:rPr>
          <w:b/>
          <w:bCs/>
        </w:rPr>
        <w:t xml:space="preserve">GRC &amp; PMO: </w:t>
      </w:r>
      <w:r>
        <w:t xml:space="preserve">ServiceNow GRC, RSA Archer, MetricStream, Jira, Confluence, MS Project, Oracle PPM, HP ALM</w:t>
      </w:r>
    </w:p>
    <w:p>
      <w:pPr>
        <w:pStyle w:val="Heading1"/>
      </w:pPr>
      <w:r>
        <w:t xml:space="preserve">EDUCATION</w:t>
      </w:r>
    </w:p>
    <w:p>
      <w:pPr>
        <w:spacing w:after="60"/>
      </w:pPr>
      <w:r>
        <w:t xml:space="preserve">B.Sc., Business Information Systems — University of East London, United Kingdom</w:t>
      </w:r>
    </w:p>
    <w:p>
      <w:pPr>
        <w:spacing w:after="60"/>
      </w:pPr>
      <w:r>
        <w:t xml:space="preserve">Diploma, Information Technology &amp; Engineering — University of Queensland, Australia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2"/>
      </w:pBdr>
      <w:spacing w:after="80" w:before="16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40" w:before="120"/>
      <w:outlineLvl w:val="1"/>
    </w:pPr>
    <w:rPr>
      <w:rFonts w:ascii="Calibri" w:cs="Calibri" w:eastAsia="Calibri" w:hAnsi="Calibri"/>
      <w:b/>
      <w:bCs/>
      <w:color w:val="1F3864"/>
      <w:sz w:val="22"/>
      <w:szCs w:val="22"/>
    </w:rPr>
  </w:style>
  <w:style w:type="paragraph" w:styleId="Heading3">
    <w:name w:val="Heading 3"/>
    <w:basedOn w:val="Normal"/>
    <w:next w:val="Normal"/>
    <w:qFormat/>
    <w:pPr>
      <w:spacing w:after="40" w:before="80"/>
      <w:outlineLvl w:val="2"/>
    </w:pPr>
    <w:rPr>
      <w:rFonts w:ascii="Calibri" w:cs="Calibri" w:eastAsia="Calibri" w:hAnsi="Calibri"/>
      <w:b/>
      <w:bCs/>
      <w:i/>
      <w:iCs/>
      <w:color w:val="2E2E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2026-04-08T04:08:21.661Z</dcterms:created>
  <dcterms:modified xsi:type="dcterms:W3CDTF">2026-04-08T04:08:21.661Z</dcterms:modified>
</cp:coreProperties>
</file>

<file path=docProps/custom.xml><?xml version="1.0" encoding="utf-8"?>
<Properties xmlns="http://schemas.openxmlformats.org/officeDocument/2006/custom-properties" xmlns:vt="http://schemas.openxmlformats.org/officeDocument/2006/docPropsVTypes"/>
</file>