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0F500" w14:textId="77777777" w:rsidR="001A2D45" w:rsidRPr="00333EB4" w:rsidRDefault="00000000" w:rsidP="00333EB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sbn9canukw0s" w:colFirst="0" w:colLast="0"/>
      <w:bookmarkEnd w:id="0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VOLUNTEER MOTIVATION, ENGAGEMENT, &amp; SATISFACTION</w:t>
      </w:r>
    </w:p>
    <w:p w14:paraId="6533BF1D" w14:textId="77777777" w:rsidR="001A2D45" w:rsidRPr="00333EB4" w:rsidRDefault="00000000" w:rsidP="00333EB4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vredsydu4znn" w:colFirst="0" w:colLast="0"/>
      <w:bookmarkEnd w:id="1"/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Martins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et al. (2024)</w:t>
      </w:r>
    </w:p>
    <w:p w14:paraId="0D37ABA2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</w:rPr>
        <w:t>(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One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Relevant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Hypotheses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2BC00F23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2118EC8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>“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Functions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Inventory (VFI) </w:t>
      </w:r>
      <w:proofErr w:type="spellStart"/>
      <w:r w:rsidRPr="00333EB4">
        <w:rPr>
          <w:rFonts w:ascii="Times New Roman" w:eastAsia="Times New Roman" w:hAnsi="Times New Roman" w:cs="Times New Roman"/>
        </w:rPr>
        <w:t>will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333EB4">
        <w:rPr>
          <w:rFonts w:ascii="Times New Roman" w:eastAsia="Times New Roman" w:hAnsi="Times New Roman" w:cs="Times New Roman"/>
        </w:rPr>
        <w:t>positively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associated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organizational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’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.” </w:t>
      </w:r>
    </w:p>
    <w:p w14:paraId="769F32B2" w14:textId="77777777" w:rsidR="001A2D45" w:rsidRPr="00333EB4" w:rsidRDefault="001A2D45" w:rsidP="00333EB4">
      <w:pPr>
        <w:spacing w:line="36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5468BEAA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Relevant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Theory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51677505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Clary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et </w:t>
      </w:r>
      <w:proofErr w:type="gramStart"/>
      <w:r w:rsidRPr="00333EB4">
        <w:rPr>
          <w:rFonts w:ascii="Times New Roman" w:eastAsia="Times New Roman" w:hAnsi="Times New Roman" w:cs="Times New Roman"/>
        </w:rPr>
        <w:t>al.(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1998)’s </w:t>
      </w:r>
      <w:proofErr w:type="spellStart"/>
      <w:r w:rsidRPr="00333EB4">
        <w:rPr>
          <w:rFonts w:ascii="Times New Roman" w:eastAsia="Times New Roman" w:hAnsi="Times New Roman" w:cs="Times New Roman"/>
        </w:rPr>
        <w:t>Functional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</w:p>
    <w:p w14:paraId="090124ED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BF23EFD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67672DCD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3E13D51" wp14:editId="32FA1B2D">
            <wp:extent cx="6292642" cy="1998839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642" cy="1998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4ECA8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107EB68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  <w:r w:rsidRPr="00333EB4">
        <w:rPr>
          <w:rFonts w:ascii="Times New Roman" w:eastAsia="Times New Roman" w:hAnsi="Times New Roman" w:cs="Times New Roman"/>
          <w:i/>
        </w:rPr>
        <w:t>“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functions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with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highest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scores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were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enhancement</w:t>
      </w:r>
      <w:proofErr w:type="spellEnd"/>
      <w:r w:rsidRPr="00333EB4">
        <w:rPr>
          <w:rFonts w:ascii="Times New Roman" w:eastAsia="Times New Roman" w:hAnsi="Times New Roman" w:cs="Times New Roman"/>
          <w:i/>
        </w:rPr>
        <w:t>”</w:t>
      </w:r>
    </w:p>
    <w:p w14:paraId="07DED0B9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9F9F7D1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Table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7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shows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r w:rsidRPr="00333EB4">
        <w:rPr>
          <w:rFonts w:ascii="Times New Roman" w:eastAsia="Times New Roman" w:hAnsi="Times New Roman" w:cs="Times New Roman"/>
          <w:b/>
        </w:rPr>
        <w:t>Enhancement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functions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strongest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positive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both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measured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UWES)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measured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VSS). </w:t>
      </w:r>
      <w:proofErr w:type="spellStart"/>
      <w:r w:rsidRPr="00333EB4">
        <w:rPr>
          <w:rFonts w:ascii="Times New Roman" w:eastAsia="Times New Roman" w:hAnsi="Times New Roman" w:cs="Times New Roman"/>
        </w:rPr>
        <w:t>Specifically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has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highest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(0.37)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(0.47), </w:t>
      </w:r>
      <w:proofErr w:type="spellStart"/>
      <w:r w:rsidRPr="00333EB4">
        <w:rPr>
          <w:rFonts w:ascii="Times New Roman" w:eastAsia="Times New Roman" w:hAnsi="Times New Roman" w:cs="Times New Roman"/>
        </w:rPr>
        <w:t>indicating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seeking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learn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feel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highly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satisfied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Enhancement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also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show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moderate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strong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both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outcomes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contrast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,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,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Protective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weaker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also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shows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has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negative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following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(-0.18)</w:t>
      </w:r>
      <w:r w:rsidRPr="00333EB4">
        <w:rPr>
          <w:rFonts w:ascii="Times New Roman" w:eastAsia="Times New Roman" w:hAnsi="Times New Roman" w:cs="Times New Roman"/>
        </w:rPr>
        <w:t xml:space="preserve">, </w:t>
      </w:r>
      <w:r w:rsidRPr="00333EB4">
        <w:rPr>
          <w:rFonts w:ascii="Times New Roman" w:eastAsia="Times New Roman" w:hAnsi="Times New Roman" w:cs="Times New Roman"/>
          <w:b/>
        </w:rPr>
        <w:t>Enhancement (-0.15)</w:t>
      </w:r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(-0.50)</w:t>
      </w:r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indicates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younger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333EB4">
        <w:rPr>
          <w:rFonts w:ascii="Times New Roman" w:eastAsia="Times New Roman" w:hAnsi="Times New Roman" w:cs="Times New Roman"/>
        </w:rPr>
        <w:t>motivated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desire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learn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personal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development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r w:rsidRPr="00333EB4">
        <w:rPr>
          <w:rFonts w:ascii="Times New Roman" w:eastAsia="Times New Roman" w:hAnsi="Times New Roman" w:cs="Times New Roman"/>
          <w:b/>
        </w:rPr>
        <w:t>Enhancement</w:t>
      </w:r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advancement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compared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negative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333EB4">
        <w:rPr>
          <w:rFonts w:ascii="Times New Roman" w:eastAsia="Times New Roman" w:hAnsi="Times New Roman" w:cs="Times New Roman"/>
        </w:rPr>
        <w:t>particularly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strong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suggesting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career-related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reasons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5A4BFA7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C594262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F16384" wp14:editId="2A839473">
            <wp:extent cx="5605463" cy="187642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485D6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9F5397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study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also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found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gender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differences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Table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8),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higher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(M = 4.06) </w:t>
      </w:r>
      <w:proofErr w:type="spellStart"/>
      <w:r w:rsidRPr="00333EB4">
        <w:rPr>
          <w:rFonts w:ascii="Times New Roman" w:eastAsia="Times New Roman" w:hAnsi="Times New Roman" w:cs="Times New Roman"/>
        </w:rPr>
        <w:t>compared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females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(M = 3.62), </w:t>
      </w:r>
      <w:proofErr w:type="spellStart"/>
      <w:r w:rsidRPr="00333EB4">
        <w:rPr>
          <w:rFonts w:ascii="Times New Roman" w:eastAsia="Times New Roman" w:hAnsi="Times New Roman" w:cs="Times New Roman"/>
        </w:rPr>
        <w:t>showing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moderate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 (d = 0.29, p = 0.004),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enhancement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slightly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higher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(M = 5.28) </w:t>
      </w:r>
      <w:proofErr w:type="spellStart"/>
      <w:r w:rsidRPr="00333EB4">
        <w:rPr>
          <w:rFonts w:ascii="Times New Roman" w:eastAsia="Times New Roman" w:hAnsi="Times New Roman" w:cs="Times New Roman"/>
        </w:rPr>
        <w:t>than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females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(M = 5.04),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small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 (d = 0.19, p = 0.042).</w:t>
      </w:r>
    </w:p>
    <w:p w14:paraId="7B566A18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3D311B4C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Please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Note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VFI, Utrecht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(UWES),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>(</w:t>
      </w:r>
      <w:proofErr w:type="gramEnd"/>
      <w:r w:rsidRPr="00333EB4">
        <w:rPr>
          <w:rFonts w:ascii="Times New Roman" w:eastAsia="Times New Roman" w:hAnsi="Times New Roman" w:cs="Times New Roman"/>
        </w:rPr>
        <w:t>Index) (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Vecina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Jiménez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et al., 2009)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survey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just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left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out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subscale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VSS)</w:t>
      </w:r>
    </w:p>
    <w:p w14:paraId="1FF10C4D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D71A9B4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C886664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67CCB183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2C2EEB8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B4CD38B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D5C7F5F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08F2D5C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FCC180F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3C3D809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B4389EA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90EBC23" w14:textId="77777777" w:rsidR="001A2D45" w:rsidRPr="00333EB4" w:rsidRDefault="00000000" w:rsidP="00333EB4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sbfzlns6s9eh" w:colFirst="0" w:colLast="0"/>
      <w:bookmarkEnd w:id="2"/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Cañas-Lerma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Campos-Vidal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, &amp;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Verger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(2022)</w:t>
      </w:r>
    </w:p>
    <w:p w14:paraId="5554544B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Aim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1F32A953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lastRenderedPageBreak/>
        <w:t>“</w:t>
      </w: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quantitative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part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study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objective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was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determine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compassion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>, self-</w:t>
      </w:r>
      <w:proofErr w:type="spellStart"/>
      <w:r w:rsidRPr="00333EB4">
        <w:rPr>
          <w:rFonts w:ascii="Times New Roman" w:eastAsia="Times New Roman" w:hAnsi="Times New Roman" w:cs="Times New Roman"/>
        </w:rPr>
        <w:t>care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compassion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fatigue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health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examine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</w:t>
      </w:r>
      <w:proofErr w:type="spellEnd"/>
      <w:r w:rsidRPr="00333EB4">
        <w:rPr>
          <w:rFonts w:ascii="Times New Roman" w:eastAsia="Times New Roman" w:hAnsi="Times New Roman" w:cs="Times New Roman"/>
        </w:rPr>
        <w:t>.”</w:t>
      </w:r>
    </w:p>
    <w:p w14:paraId="75969417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CBC2660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Relevant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Theory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4918F9A1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5E2D7DA3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Clary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et </w:t>
      </w:r>
      <w:proofErr w:type="gramStart"/>
      <w:r w:rsidRPr="00333EB4">
        <w:rPr>
          <w:rFonts w:ascii="Times New Roman" w:eastAsia="Times New Roman" w:hAnsi="Times New Roman" w:cs="Times New Roman"/>
        </w:rPr>
        <w:t>al.(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1998)’s </w:t>
      </w:r>
      <w:proofErr w:type="spellStart"/>
      <w:r w:rsidRPr="00333EB4">
        <w:rPr>
          <w:rFonts w:ascii="Times New Roman" w:eastAsia="Times New Roman" w:hAnsi="Times New Roman" w:cs="Times New Roman"/>
        </w:rPr>
        <w:t>Functional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</w:p>
    <w:p w14:paraId="1239C27D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CE6FAF1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5435DEF8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  <w:b/>
        </w:rPr>
        <w:t>P.S.:</w:t>
      </w:r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also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VFI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UWES (as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but they </w:t>
      </w:r>
      <w:proofErr w:type="spellStart"/>
      <w:r w:rsidRPr="00333EB4">
        <w:rPr>
          <w:rFonts w:ascii="Times New Roman" w:eastAsia="Times New Roman" w:hAnsi="Times New Roman" w:cs="Times New Roman"/>
        </w:rPr>
        <w:t>chose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exclude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subscale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from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VFI </w:t>
      </w:r>
      <w:proofErr w:type="spellStart"/>
      <w:r w:rsidRPr="00333EB4">
        <w:rPr>
          <w:rFonts w:ascii="Times New Roman" w:eastAsia="Times New Roman" w:hAnsi="Times New Roman" w:cs="Times New Roman"/>
        </w:rPr>
        <w:t>due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Cronbach's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alpha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(α = 0.57)</w:t>
      </w:r>
    </w:p>
    <w:p w14:paraId="31B7ADC1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6E91A0E6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4E2BCEC" wp14:editId="5976659A">
            <wp:extent cx="6265779" cy="2685334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779" cy="2685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684F3" w14:textId="77777777" w:rsidR="001A2D45" w:rsidRPr="00333EB4" w:rsidRDefault="00000000" w:rsidP="00333EB4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study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found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was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positively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associated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but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r w:rsidRPr="00333EB4">
        <w:rPr>
          <w:rFonts w:ascii="Times New Roman" w:eastAsia="Times New Roman" w:hAnsi="Times New Roman" w:cs="Times New Roman"/>
          <w:b/>
        </w:rPr>
        <w:t>Enhancement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showing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strongest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(r = 0.450, p </w:t>
      </w:r>
      <w:proofErr w:type="gramStart"/>
      <w:r w:rsidRPr="00333EB4">
        <w:rPr>
          <w:rFonts w:ascii="Times New Roman" w:eastAsia="Times New Roman" w:hAnsi="Times New Roman" w:cs="Times New Roman"/>
        </w:rPr>
        <w:t>&lt; 0.01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followed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(r = 0.394, p &lt; 0.01). </w:t>
      </w: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who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sought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learning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acquiring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knowledge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personal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333EB4">
        <w:rPr>
          <w:rFonts w:ascii="Times New Roman" w:eastAsia="Times New Roman" w:hAnsi="Times New Roman" w:cs="Times New Roman"/>
        </w:rPr>
        <w:t>improvement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(Enhancement) </w:t>
      </w:r>
      <w:proofErr w:type="spellStart"/>
      <w:r w:rsidRPr="00333EB4">
        <w:rPr>
          <w:rFonts w:ascii="Times New Roman" w:eastAsia="Times New Roman" w:hAnsi="Times New Roman" w:cs="Times New Roman"/>
        </w:rPr>
        <w:t>tended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roles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7B73F9C" w14:textId="77777777" w:rsidR="001A2D45" w:rsidRPr="00333EB4" w:rsidRDefault="00000000" w:rsidP="00333EB4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terms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only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demonstrated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negative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(r </w:t>
      </w:r>
      <w:proofErr w:type="gramStart"/>
      <w:r w:rsidRPr="00333EB4">
        <w:rPr>
          <w:rFonts w:ascii="Times New Roman" w:eastAsia="Times New Roman" w:hAnsi="Times New Roman" w:cs="Times New Roman"/>
        </w:rPr>
        <w:t>= -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0.470, p &lt; 0.01), </w:t>
      </w:r>
      <w:proofErr w:type="spellStart"/>
      <w:r w:rsidRPr="00333EB4">
        <w:rPr>
          <w:rFonts w:ascii="Times New Roman" w:eastAsia="Times New Roman" w:hAnsi="Times New Roman" w:cs="Times New Roman"/>
        </w:rPr>
        <w:t>indicating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younger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were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inclined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view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a </w:t>
      </w:r>
      <w:proofErr w:type="spellStart"/>
      <w:r w:rsidRPr="00333EB4">
        <w:rPr>
          <w:rFonts w:ascii="Times New Roman" w:eastAsia="Times New Roman" w:hAnsi="Times New Roman" w:cs="Times New Roman"/>
        </w:rPr>
        <w:t>means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advance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careers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No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age-related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differences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emerged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C101BA4" w14:textId="77777777" w:rsidR="001A2D45" w:rsidRPr="00333EB4" w:rsidRDefault="00000000" w:rsidP="00333EB4">
      <w:pPr>
        <w:spacing w:before="240" w:after="240" w:line="360" w:lineRule="auto"/>
        <w:jc w:val="both"/>
      </w:pP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study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also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found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certain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educational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background. </w:t>
      </w:r>
      <w:proofErr w:type="spellStart"/>
      <w:r w:rsidRPr="00333EB4">
        <w:rPr>
          <w:rFonts w:ascii="Times New Roman" w:eastAsia="Times New Roman" w:hAnsi="Times New Roman" w:cs="Times New Roman"/>
        </w:rPr>
        <w:t>Participants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lower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formal </w:t>
      </w:r>
      <w:proofErr w:type="spellStart"/>
      <w:r w:rsidRPr="00333EB4">
        <w:rPr>
          <w:rFonts w:ascii="Times New Roman" w:eastAsia="Times New Roman" w:hAnsi="Times New Roman" w:cs="Times New Roman"/>
        </w:rPr>
        <w:t>education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higher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r w:rsidRPr="00333EB4">
        <w:rPr>
          <w:rFonts w:ascii="Times New Roman" w:eastAsia="Times New Roman" w:hAnsi="Times New Roman" w:cs="Times New Roman"/>
          <w:b/>
        </w:rPr>
        <w:t>Enhancement</w:t>
      </w:r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Protective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those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advanced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education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suggesting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diminish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educational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attainment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increases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contrast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not </w:t>
      </w:r>
      <w:proofErr w:type="spellStart"/>
      <w:r w:rsidRPr="00333EB4">
        <w:rPr>
          <w:rFonts w:ascii="Times New Roman" w:eastAsia="Times New Roman" w:hAnsi="Times New Roman" w:cs="Times New Roman"/>
        </w:rPr>
        <w:t>differ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education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No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differences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were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observed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gender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employment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status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highlight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educational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attainment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plays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notable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role in </w:t>
      </w:r>
      <w:proofErr w:type="spellStart"/>
      <w:r w:rsidRPr="00333EB4">
        <w:rPr>
          <w:rFonts w:ascii="Times New Roman" w:eastAsia="Times New Roman" w:hAnsi="Times New Roman" w:cs="Times New Roman"/>
        </w:rPr>
        <w:t>shaping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underlying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reasons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individuals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choose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1011F7E" w14:textId="77777777" w:rsidR="001A2D45" w:rsidRPr="00333EB4" w:rsidRDefault="00000000" w:rsidP="00333EB4">
      <w:pPr>
        <w:spacing w:line="360" w:lineRule="auto"/>
      </w:pPr>
      <w:r w:rsidRPr="00333EB4">
        <w:rPr>
          <w:noProof/>
        </w:rPr>
        <w:drawing>
          <wp:inline distT="114300" distB="114300" distL="114300" distR="114300" wp14:anchorId="2E24A3CE" wp14:editId="4EACEE07">
            <wp:extent cx="6414639" cy="30815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4639" cy="308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21877" w14:textId="77777777" w:rsidR="001A2D45" w:rsidRPr="00333EB4" w:rsidRDefault="001A2D45" w:rsidP="00333EB4">
      <w:pPr>
        <w:spacing w:line="360" w:lineRule="auto"/>
      </w:pPr>
    </w:p>
    <w:p w14:paraId="4E115217" w14:textId="77777777" w:rsidR="001A2D45" w:rsidRPr="00333EB4" w:rsidRDefault="001A2D45" w:rsidP="00333EB4">
      <w:pPr>
        <w:spacing w:line="360" w:lineRule="auto"/>
      </w:pPr>
    </w:p>
    <w:p w14:paraId="0987136E" w14:textId="77777777" w:rsidR="001A2D45" w:rsidRPr="00333EB4" w:rsidRDefault="001A2D45" w:rsidP="00333EB4">
      <w:pPr>
        <w:spacing w:line="360" w:lineRule="auto"/>
      </w:pPr>
    </w:p>
    <w:p w14:paraId="1E0109A0" w14:textId="77777777" w:rsidR="001A2D45" w:rsidRPr="00333EB4" w:rsidRDefault="001A2D45" w:rsidP="00333EB4">
      <w:pPr>
        <w:spacing w:line="360" w:lineRule="auto"/>
      </w:pPr>
    </w:p>
    <w:p w14:paraId="28DB0E7A" w14:textId="77777777" w:rsidR="001A2D45" w:rsidRPr="00333EB4" w:rsidRDefault="001A2D45" w:rsidP="00333EB4">
      <w:pPr>
        <w:spacing w:line="360" w:lineRule="auto"/>
      </w:pPr>
    </w:p>
    <w:p w14:paraId="76C71F81" w14:textId="77777777" w:rsidR="001A2D45" w:rsidRPr="00333EB4" w:rsidRDefault="001A2D45" w:rsidP="00333EB4">
      <w:pPr>
        <w:spacing w:line="360" w:lineRule="auto"/>
      </w:pPr>
    </w:p>
    <w:p w14:paraId="5010991D" w14:textId="77777777" w:rsidR="001A2D45" w:rsidRPr="00333EB4" w:rsidRDefault="001A2D45" w:rsidP="00333EB4">
      <w:pPr>
        <w:spacing w:line="360" w:lineRule="auto"/>
      </w:pPr>
    </w:p>
    <w:p w14:paraId="27CED41D" w14:textId="77777777" w:rsidR="001A2D45" w:rsidRPr="00333EB4" w:rsidRDefault="001A2D45" w:rsidP="00333EB4">
      <w:pPr>
        <w:spacing w:line="360" w:lineRule="auto"/>
      </w:pPr>
    </w:p>
    <w:p w14:paraId="44AC2990" w14:textId="77777777" w:rsidR="001A2D45" w:rsidRPr="00333EB4" w:rsidRDefault="001A2D45" w:rsidP="00333EB4">
      <w:pPr>
        <w:spacing w:line="360" w:lineRule="auto"/>
      </w:pPr>
    </w:p>
    <w:p w14:paraId="1BC348AA" w14:textId="77777777" w:rsidR="001A2D45" w:rsidRPr="00333EB4" w:rsidRDefault="00000000" w:rsidP="00333EB4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6lfrogev19us" w:colFirst="0" w:colLast="0"/>
      <w:bookmarkEnd w:id="3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Zhou &amp;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Muscente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(2023)</w:t>
      </w:r>
    </w:p>
    <w:p w14:paraId="2DC762F2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>Meta-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52BB8CD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Examines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underlying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drive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individuals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activities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95D76FA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1AA1AE0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Relevant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Theories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55D5FD35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Clary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et </w:t>
      </w:r>
      <w:proofErr w:type="gramStart"/>
      <w:r w:rsidRPr="00333EB4">
        <w:rPr>
          <w:rFonts w:ascii="Times New Roman" w:eastAsia="Times New Roman" w:hAnsi="Times New Roman" w:cs="Times New Roman"/>
        </w:rPr>
        <w:t>al.(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1998)’s </w:t>
      </w:r>
      <w:proofErr w:type="spellStart"/>
      <w:r w:rsidRPr="00333EB4">
        <w:rPr>
          <w:rFonts w:ascii="Times New Roman" w:eastAsia="Times New Roman" w:hAnsi="Times New Roman" w:cs="Times New Roman"/>
        </w:rPr>
        <w:t>Functional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</w:p>
    <w:p w14:paraId="0D5FC16F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D8C775F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00CC4C43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meta-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Functions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Inventory (VFI), Zhou, </w:t>
      </w:r>
      <w:proofErr w:type="spellStart"/>
      <w:r w:rsidRPr="00333EB4">
        <w:rPr>
          <w:rFonts w:ascii="Times New Roman" w:eastAsia="Times New Roman" w:hAnsi="Times New Roman" w:cs="Times New Roman"/>
        </w:rPr>
        <w:t>Kodama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Muscente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(2022) </w:t>
      </w:r>
      <w:proofErr w:type="spellStart"/>
      <w:r w:rsidRPr="00333EB4">
        <w:rPr>
          <w:rFonts w:ascii="Times New Roman" w:eastAsia="Times New Roman" w:hAnsi="Times New Roman" w:cs="Times New Roman"/>
        </w:rPr>
        <w:t>synthesised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various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studies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how </w:t>
      </w:r>
      <w:proofErr w:type="spellStart"/>
      <w:r w:rsidRPr="00333EB4">
        <w:rPr>
          <w:rFonts w:ascii="Times New Roman" w:eastAsia="Times New Roman" w:hAnsi="Times New Roman" w:cs="Times New Roman"/>
        </w:rPr>
        <w:t>different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functions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outcomes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r w:rsidRPr="00333EB4">
        <w:rPr>
          <w:rFonts w:ascii="Times New Roman" w:eastAsia="Times New Roman" w:hAnsi="Times New Roman" w:cs="Times New Roman"/>
          <w:b/>
        </w:rPr>
        <w:t>(</w:t>
      </w:r>
      <w:proofErr w:type="spellStart"/>
      <w:r w:rsidRPr="00333EB4">
        <w:rPr>
          <w:rFonts w:ascii="Times New Roman" w:eastAsia="Times New Roman" w:hAnsi="Times New Roman" w:cs="Times New Roman"/>
        </w:rPr>
        <w:t>namely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satisfaction-commitment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continue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)</w:t>
      </w:r>
      <w:r w:rsidRPr="00333EB4">
        <w:rPr>
          <w:rFonts w:ascii="Times New Roman" w:eastAsia="Times New Roman" w:hAnsi="Times New Roman" w:cs="Times New Roman"/>
        </w:rPr>
        <w:t xml:space="preserve">. They </w:t>
      </w:r>
      <w:proofErr w:type="spellStart"/>
      <w:r w:rsidRPr="00333EB4">
        <w:rPr>
          <w:rFonts w:ascii="Times New Roman" w:eastAsia="Times New Roman" w:hAnsi="Times New Roman" w:cs="Times New Roman"/>
        </w:rPr>
        <w:t>specifically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focused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continue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They </w:t>
      </w:r>
      <w:proofErr w:type="spellStart"/>
      <w:r w:rsidRPr="00333EB4">
        <w:rPr>
          <w:rFonts w:ascii="Times New Roman" w:eastAsia="Times New Roman" w:hAnsi="Times New Roman" w:cs="Times New Roman"/>
        </w:rPr>
        <w:t>merged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single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construct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r w:rsidRPr="00333EB4">
        <w:rPr>
          <w:rFonts w:ascii="Times New Roman" w:eastAsia="Times New Roman" w:hAnsi="Times New Roman" w:cs="Times New Roman"/>
          <w:b/>
          <w:i/>
        </w:rPr>
        <w:t>“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due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establishment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overlap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>”</w:t>
      </w:r>
      <w:r w:rsidRPr="00333EB4">
        <w:rPr>
          <w:rFonts w:ascii="Times New Roman" w:eastAsia="Times New Roman" w:hAnsi="Times New Roman" w:cs="Times New Roman"/>
        </w:rPr>
        <w:t xml:space="preserve">. </w:t>
      </w:r>
      <w:r w:rsidRPr="00333EB4">
        <w:rPr>
          <w:rFonts w:ascii="Times New Roman" w:eastAsia="Times New Roman" w:hAnsi="Times New Roman" w:cs="Times New Roman"/>
          <w:i/>
        </w:rPr>
        <w:t>“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demonstrate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that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all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six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motivators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significantly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predicted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three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outcome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(𝜌̅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ranging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from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.12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.44)”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consistently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</w:p>
    <w:p w14:paraId="38964429" w14:textId="77777777" w:rsidR="001A2D45" w:rsidRPr="00333EB4" w:rsidRDefault="001A2D45" w:rsidP="00333EB4">
      <w:pPr>
        <w:spacing w:line="360" w:lineRule="auto"/>
      </w:pPr>
    </w:p>
    <w:p w14:paraId="77C1BDF9" w14:textId="77777777" w:rsidR="001A2D45" w:rsidRPr="00333EB4" w:rsidRDefault="00000000" w:rsidP="00333EB4">
      <w:pPr>
        <w:spacing w:line="360" w:lineRule="auto"/>
      </w:pPr>
      <w:r w:rsidRPr="00333EB4">
        <w:rPr>
          <w:noProof/>
        </w:rPr>
        <w:drawing>
          <wp:inline distT="114300" distB="114300" distL="114300" distR="114300" wp14:anchorId="5B34545D" wp14:editId="01955B1E">
            <wp:extent cx="4033838" cy="382766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827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1E008" w14:textId="77777777" w:rsidR="001A2D45" w:rsidRPr="00333EB4" w:rsidRDefault="00000000" w:rsidP="00333EB4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pc6exlvw633t" w:colFirst="0" w:colLast="0"/>
      <w:bookmarkEnd w:id="4"/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Vecina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et al. (2012) </w:t>
      </w:r>
    </w:p>
    <w:p w14:paraId="031C8660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Hypotheses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785BC0D3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  <w:b/>
        </w:rPr>
        <w:lastRenderedPageBreak/>
        <w:t xml:space="preserve">H1: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333EB4">
        <w:rPr>
          <w:rFonts w:ascii="Times New Roman" w:eastAsia="Times New Roman" w:hAnsi="Times New Roman" w:cs="Times New Roman"/>
        </w:rPr>
        <w:t>positively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associated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333EB4">
        <w:rPr>
          <w:rFonts w:ascii="Times New Roman" w:eastAsia="Times New Roman" w:hAnsi="Times New Roman" w:cs="Times New Roman"/>
        </w:rPr>
        <w:t>positively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associated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a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(1st </w:t>
      </w:r>
      <w:proofErr w:type="spellStart"/>
      <w:r w:rsidRPr="00333EB4">
        <w:rPr>
          <w:rFonts w:ascii="Times New Roman" w:eastAsia="Times New Roman" w:hAnsi="Times New Roman" w:cs="Times New Roman"/>
        </w:rPr>
        <w:t>Stage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73016872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  <w:b/>
        </w:rPr>
        <w:t xml:space="preserve">H2: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333EB4">
        <w:rPr>
          <w:rFonts w:ascii="Times New Roman" w:eastAsia="Times New Roman" w:hAnsi="Times New Roman" w:cs="Times New Roman"/>
        </w:rPr>
        <w:t>positively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associated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organisational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organisational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333EB4">
        <w:rPr>
          <w:rFonts w:ascii="Times New Roman" w:eastAsia="Times New Roman" w:hAnsi="Times New Roman" w:cs="Times New Roman"/>
        </w:rPr>
        <w:t>positively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associated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a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veteran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(2nd </w:t>
      </w:r>
      <w:proofErr w:type="spellStart"/>
      <w:r w:rsidRPr="00333EB4">
        <w:rPr>
          <w:rFonts w:ascii="Times New Roman" w:eastAsia="Times New Roman" w:hAnsi="Times New Roman" w:cs="Times New Roman"/>
        </w:rPr>
        <w:t>Stage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1810CFAF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7FC2033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Relevant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Theories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7E6C2422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Clary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et </w:t>
      </w:r>
      <w:proofErr w:type="gramStart"/>
      <w:r w:rsidRPr="00333EB4">
        <w:rPr>
          <w:rFonts w:ascii="Times New Roman" w:eastAsia="Times New Roman" w:hAnsi="Times New Roman" w:cs="Times New Roman"/>
        </w:rPr>
        <w:t>al.(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1998)’s </w:t>
      </w:r>
      <w:proofErr w:type="spellStart"/>
      <w:r w:rsidRPr="00333EB4">
        <w:rPr>
          <w:rFonts w:ascii="Times New Roman" w:eastAsia="Times New Roman" w:hAnsi="Times New Roman" w:cs="Times New Roman"/>
        </w:rPr>
        <w:t>Functional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</w:p>
    <w:p w14:paraId="15B323DD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473A456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>“</w:t>
      </w:r>
      <w:proofErr w:type="spellStart"/>
      <w:r w:rsidRPr="00333EB4">
        <w:rPr>
          <w:rFonts w:ascii="Times New Roman" w:eastAsia="Times New Roman" w:hAnsi="Times New Roman" w:cs="Times New Roman"/>
        </w:rPr>
        <w:t>According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Three-</w:t>
      </w:r>
      <w:proofErr w:type="spellStart"/>
      <w:r w:rsidRPr="00333EB4">
        <w:rPr>
          <w:rFonts w:ascii="Times New Roman" w:eastAsia="Times New Roman" w:hAnsi="Times New Roman" w:cs="Times New Roman"/>
        </w:rPr>
        <w:t>Stage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Model of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’ </w:t>
      </w:r>
      <w:proofErr w:type="spellStart"/>
      <w:r w:rsidRPr="00333EB4">
        <w:rPr>
          <w:rFonts w:ascii="Times New Roman" w:eastAsia="Times New Roman" w:hAnsi="Times New Roman" w:cs="Times New Roman"/>
        </w:rPr>
        <w:t>Duration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Service (</w:t>
      </w:r>
      <w:proofErr w:type="spellStart"/>
      <w:r w:rsidRPr="00333EB4">
        <w:rPr>
          <w:rFonts w:ascii="Times New Roman" w:eastAsia="Times New Roman" w:hAnsi="Times New Roman" w:cs="Times New Roman"/>
        </w:rPr>
        <w:t>Chacón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et al., 2007),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explain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while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organisational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second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stage</w:t>
      </w:r>
      <w:proofErr w:type="spellEnd"/>
      <w:r w:rsidRPr="00333EB4">
        <w:rPr>
          <w:rFonts w:ascii="Times New Roman" w:eastAsia="Times New Roman" w:hAnsi="Times New Roman" w:cs="Times New Roman"/>
        </w:rPr>
        <w:t>.”</w:t>
      </w:r>
    </w:p>
    <w:p w14:paraId="337442EC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0E381CBF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19B38A08" w14:textId="77777777" w:rsidR="001A2D45" w:rsidRPr="00333EB4" w:rsidRDefault="00000000" w:rsidP="00333EB4">
      <w:pPr>
        <w:spacing w:line="360" w:lineRule="auto"/>
      </w:pPr>
      <w:r w:rsidRPr="00333EB4">
        <w:rPr>
          <w:noProof/>
        </w:rPr>
        <w:drawing>
          <wp:inline distT="114300" distB="114300" distL="114300" distR="114300" wp14:anchorId="59D52D84" wp14:editId="624013D1">
            <wp:extent cx="5943600" cy="26416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302B1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According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245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(UWES-9) </w:t>
      </w:r>
      <w:proofErr w:type="spellStart"/>
      <w:r w:rsidRPr="00333EB4">
        <w:rPr>
          <w:rFonts w:ascii="Times New Roman" w:eastAsia="Times New Roman" w:hAnsi="Times New Roman" w:cs="Times New Roman"/>
        </w:rPr>
        <w:t>shows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strong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positive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associations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outcomes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it </w:t>
      </w:r>
      <w:proofErr w:type="spellStart"/>
      <w:r w:rsidRPr="00333EB4">
        <w:rPr>
          <w:rFonts w:ascii="Times New Roman" w:eastAsia="Times New Roman" w:hAnsi="Times New Roman" w:cs="Times New Roman"/>
        </w:rPr>
        <w:t>correlates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at r = .66**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(COMM)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r = .34**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(INT). </w:t>
      </w:r>
      <w:proofErr w:type="spellStart"/>
      <w:r w:rsidRPr="00333EB4">
        <w:rPr>
          <w:rFonts w:ascii="Times New Roman" w:eastAsia="Times New Roman" w:hAnsi="Times New Roman" w:cs="Times New Roman"/>
        </w:rPr>
        <w:t>Individual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dimensions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–</w:t>
      </w:r>
      <w:proofErr w:type="spellStart"/>
      <w:r w:rsidRPr="00333EB4">
        <w:rPr>
          <w:rFonts w:ascii="Times New Roman" w:eastAsia="Times New Roman" w:hAnsi="Times New Roman" w:cs="Times New Roman"/>
        </w:rPr>
        <w:t>vigor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(VI), </w:t>
      </w:r>
      <w:proofErr w:type="spellStart"/>
      <w:r w:rsidRPr="00333EB4">
        <w:rPr>
          <w:rFonts w:ascii="Times New Roman" w:eastAsia="Times New Roman" w:hAnsi="Times New Roman" w:cs="Times New Roman"/>
        </w:rPr>
        <w:t>dedication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(DE),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absorption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(AB)–</w:t>
      </w:r>
      <w:proofErr w:type="spellStart"/>
      <w:r w:rsidRPr="00333EB4">
        <w:rPr>
          <w:rFonts w:ascii="Times New Roman" w:eastAsia="Times New Roman" w:hAnsi="Times New Roman" w:cs="Times New Roman"/>
        </w:rPr>
        <w:t>relate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positively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such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where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absorption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(AB)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VSI TA (</w:t>
      </w:r>
      <w:proofErr w:type="spellStart"/>
      <w:r w:rsidRPr="00333EB4">
        <w:rPr>
          <w:rFonts w:ascii="Times New Roman" w:eastAsia="Times New Roman" w:hAnsi="Times New Roman" w:cs="Times New Roman"/>
        </w:rPr>
        <w:t>tasks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linked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at r = .51**.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indicate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higher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components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align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greater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stronger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continue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over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time.</w:t>
      </w:r>
    </w:p>
    <w:p w14:paraId="2F4AF31A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95D0C20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</w:rPr>
        <w:t xml:space="preserve">New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</w:p>
    <w:p w14:paraId="31A7261B" w14:textId="77777777" w:rsidR="001A2D45" w:rsidRPr="00333EB4" w:rsidRDefault="001A2D45" w:rsidP="00333EB4">
      <w:pPr>
        <w:spacing w:line="360" w:lineRule="auto"/>
        <w:rPr>
          <w:b/>
        </w:rPr>
      </w:pPr>
    </w:p>
    <w:p w14:paraId="746DA4A9" w14:textId="77777777" w:rsidR="001A2D45" w:rsidRPr="00333EB4" w:rsidRDefault="00000000" w:rsidP="00333EB4">
      <w:pPr>
        <w:spacing w:line="360" w:lineRule="auto"/>
        <w:rPr>
          <w:b/>
        </w:rPr>
      </w:pPr>
      <w:r w:rsidRPr="00333EB4">
        <w:rPr>
          <w:b/>
          <w:noProof/>
        </w:rPr>
        <w:drawing>
          <wp:inline distT="114300" distB="114300" distL="114300" distR="114300" wp14:anchorId="4F452FB0" wp14:editId="2C4348F5">
            <wp:extent cx="3957638" cy="2088527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088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2D2D8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</w:rPr>
      </w:pPr>
    </w:p>
    <w:p w14:paraId="5D6F6E13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  <w:i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newcomers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Absorption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Vigor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Dedication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combine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which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explains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Higher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leads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greater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tasks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turn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boosts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So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is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crucial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for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new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i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b/>
          <w:i/>
        </w:rPr>
        <w:t>.</w:t>
      </w:r>
    </w:p>
    <w:p w14:paraId="16DEC54B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i/>
        </w:rPr>
      </w:pPr>
    </w:p>
    <w:p w14:paraId="7B43816B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</w:rPr>
        <w:t xml:space="preserve">Veteran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</w:p>
    <w:p w14:paraId="67C8E865" w14:textId="77777777" w:rsidR="001A2D45" w:rsidRPr="00333EB4" w:rsidRDefault="001A2D45" w:rsidP="00333EB4">
      <w:pPr>
        <w:spacing w:line="360" w:lineRule="auto"/>
        <w:rPr>
          <w:b/>
        </w:rPr>
      </w:pPr>
    </w:p>
    <w:p w14:paraId="21885491" w14:textId="77777777" w:rsidR="001A2D45" w:rsidRPr="00333EB4" w:rsidRDefault="00000000" w:rsidP="00333EB4">
      <w:pPr>
        <w:spacing w:line="360" w:lineRule="auto"/>
        <w:rPr>
          <w:b/>
        </w:rPr>
      </w:pPr>
      <w:r w:rsidRPr="00333EB4">
        <w:rPr>
          <w:b/>
          <w:noProof/>
        </w:rPr>
        <w:drawing>
          <wp:inline distT="114300" distB="114300" distL="114300" distR="114300" wp14:anchorId="2C52A690" wp14:editId="79CCA7B1">
            <wp:extent cx="4148138" cy="1473304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473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10B68" w14:textId="77777777" w:rsidR="001A2D45" w:rsidRPr="00333EB4" w:rsidRDefault="001A2D45" w:rsidP="00333EB4">
      <w:pPr>
        <w:spacing w:line="360" w:lineRule="auto"/>
        <w:rPr>
          <w:b/>
        </w:rPr>
      </w:pPr>
    </w:p>
    <w:p w14:paraId="3CBF4842" w14:textId="77777777" w:rsidR="001A2D45" w:rsidRPr="00333EB4" w:rsidRDefault="00000000" w:rsidP="00333EB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Among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fuels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sense of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which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drives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keep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Here,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333EB4">
        <w:rPr>
          <w:rFonts w:ascii="Times New Roman" w:eastAsia="Times New Roman" w:hAnsi="Times New Roman" w:cs="Times New Roman"/>
        </w:rPr>
        <w:t>less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critical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it’s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established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psychological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bond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that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long-term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retention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E6AC363" w14:textId="77777777" w:rsidR="00333EB4" w:rsidRDefault="00333EB4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jelutb9mrsa1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143DDA7" w14:textId="4D34D20B" w:rsidR="001A2D45" w:rsidRPr="00333EB4" w:rsidRDefault="00000000" w:rsidP="00333EB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Some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Points</w:t>
      </w:r>
      <w:proofErr w:type="spellEnd"/>
    </w:p>
    <w:p w14:paraId="739B02B1" w14:textId="77777777" w:rsidR="001A2D45" w:rsidRPr="00333EB4" w:rsidRDefault="00000000" w:rsidP="00333EB4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strength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different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types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1CC334E4" w14:textId="77777777" w:rsidR="001A2D45" w:rsidRPr="00333EB4" w:rsidRDefault="00000000" w:rsidP="00333EB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Age is </w:t>
      </w:r>
      <w:proofErr w:type="spellStart"/>
      <w:r w:rsidRPr="00333EB4">
        <w:rPr>
          <w:rFonts w:ascii="Times New Roman" w:eastAsia="Times New Roman" w:hAnsi="Times New Roman" w:cs="Times New Roman"/>
        </w:rPr>
        <w:t>relevant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type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younger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differ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7D0DA96" w14:textId="77777777" w:rsidR="001A2D45" w:rsidRPr="00333EB4" w:rsidRDefault="00000000" w:rsidP="00333EB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Gender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educational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attainment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relevant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consider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as they can </w:t>
      </w:r>
      <w:proofErr w:type="spellStart"/>
      <w:r w:rsidRPr="00333EB4">
        <w:rPr>
          <w:rFonts w:ascii="Times New Roman" w:eastAsia="Times New Roman" w:hAnsi="Times New Roman" w:cs="Times New Roman"/>
        </w:rPr>
        <w:t>influence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differences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25E521A" w14:textId="77777777" w:rsidR="001A2D45" w:rsidRPr="00333EB4" w:rsidRDefault="00000000" w:rsidP="00333EB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associated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continue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participation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but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degree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associations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strength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type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780B6B1" w14:textId="77777777" w:rsidR="001A2D45" w:rsidRPr="00333EB4" w:rsidRDefault="00000000" w:rsidP="00333EB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Different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mechanisms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drive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outcomes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newcomers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veteran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playing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larger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role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newcomers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crucial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veterans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FED78E6" w14:textId="77777777" w:rsidR="001A2D45" w:rsidRPr="00333EB4" w:rsidRDefault="00000000" w:rsidP="00333EB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333EB4">
        <w:rPr>
          <w:rFonts w:ascii="Times New Roman" w:eastAsia="Times New Roman" w:hAnsi="Times New Roman" w:cs="Times New Roman"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linked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higher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443C5CE" w14:textId="77777777" w:rsidR="001A2D45" w:rsidRPr="00333EB4" w:rsidRDefault="001A2D45" w:rsidP="00333EB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70836CB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AE41B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DE243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DE0F6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BEED2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5C3A2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EF36B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D3A58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42015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F7E80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4C92C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65A34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07EE8" w14:textId="77777777" w:rsidR="00D52F92" w:rsidRPr="00333EB4" w:rsidRDefault="00D52F92" w:rsidP="00333EB4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660alpa7cpp8" w:colFirst="0" w:colLast="0"/>
      <w:bookmarkEnd w:id="6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B8F3FBB" w14:textId="2FA63F8B" w:rsidR="001A2D45" w:rsidRPr="00333EB4" w:rsidRDefault="00000000" w:rsidP="00333EB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Suggestions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our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Research</w:t>
      </w:r>
      <w:proofErr w:type="spellEnd"/>
    </w:p>
    <w:p w14:paraId="4CC4F9AC" w14:textId="06A58365" w:rsidR="00D52F92" w:rsidRPr="00333EB4" w:rsidRDefault="00D52F92" w:rsidP="00333E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Pr="00333EB4">
        <w:rPr>
          <w:rFonts w:ascii="Times New Roman" w:eastAsia="Times New Roman" w:hAnsi="Times New Roman" w:cs="Times New Roman"/>
          <w:b/>
          <w:bCs/>
        </w:rPr>
        <w:t>Size</w:t>
      </w:r>
      <w:proofErr w:type="gramEnd"/>
      <w:r w:rsidRPr="00333EB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Population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Reliability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Checks</w:t>
      </w:r>
      <w:proofErr w:type="spellEnd"/>
    </w:p>
    <w:p w14:paraId="710524E5" w14:textId="77777777" w:rsidR="00D52F92" w:rsidRPr="00333EB4" w:rsidRDefault="00D52F92" w:rsidP="00333E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Clearly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describe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 (n=50)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representativeness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target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population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Acknowledge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a </w:t>
      </w:r>
      <w:proofErr w:type="spellStart"/>
      <w:r w:rsidRPr="00333EB4">
        <w:rPr>
          <w:rFonts w:ascii="Times New Roman" w:eastAsia="Times New Roman" w:hAnsi="Times New Roman" w:cs="Times New Roman"/>
        </w:rPr>
        <w:t>small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generalizability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F8EB1B2" w14:textId="77777777" w:rsidR="00D52F92" w:rsidRPr="00333EB4" w:rsidRDefault="00D52F92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Conduct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reliability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checks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Cronbach’s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alpha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focusing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on:</w:t>
      </w:r>
    </w:p>
    <w:p w14:paraId="5043E4D0" w14:textId="77777777" w:rsidR="00D52F92" w:rsidRPr="00333EB4" w:rsidRDefault="00D52F92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(VFI 30 </w:t>
      </w:r>
      <w:proofErr w:type="spellStart"/>
      <w:r w:rsidRPr="00333EB4">
        <w:rPr>
          <w:rFonts w:ascii="Times New Roman" w:eastAsia="Times New Roman" w:hAnsi="Times New Roman" w:cs="Times New Roman"/>
        </w:rPr>
        <w:t>items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6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57ADCFA9" w14:textId="77777777" w:rsidR="00D52F92" w:rsidRPr="00333EB4" w:rsidRDefault="00D52F92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(9 </w:t>
      </w:r>
      <w:proofErr w:type="spellStart"/>
      <w:r w:rsidRPr="00333EB4">
        <w:rPr>
          <w:rFonts w:ascii="Times New Roman" w:eastAsia="Times New Roman" w:hAnsi="Times New Roman" w:cs="Times New Roman"/>
        </w:rPr>
        <w:t>items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3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420466E7" w14:textId="77777777" w:rsidR="00D52F92" w:rsidRPr="00333EB4" w:rsidRDefault="00D52F92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(11 </w:t>
      </w:r>
      <w:proofErr w:type="spellStart"/>
      <w:r w:rsidRPr="00333EB4">
        <w:rPr>
          <w:rFonts w:ascii="Times New Roman" w:eastAsia="Times New Roman" w:hAnsi="Times New Roman" w:cs="Times New Roman"/>
        </w:rPr>
        <w:t>items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2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5FC89107" w14:textId="13758D6F" w:rsidR="00D52F92" w:rsidRPr="00333EB4" w:rsidRDefault="00513FBE" w:rsidP="00333E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Core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Constructs</w:t>
      </w:r>
      <w:proofErr w:type="spellEnd"/>
    </w:p>
    <w:p w14:paraId="48DE2D2F" w14:textId="77777777" w:rsidR="00784658" w:rsidRPr="00333EB4" w:rsidRDefault="00784658" w:rsidP="00333E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descriptive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statistics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means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standard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deviations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following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constructs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0E783081" w14:textId="77777777" w:rsidR="00784658" w:rsidRPr="00333EB4" w:rsidRDefault="00784658" w:rsidP="00333E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(6 VFI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protection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enhancement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33E982D4" w14:textId="77777777" w:rsidR="00784658" w:rsidRPr="00333EB4" w:rsidRDefault="00784658" w:rsidP="00333E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(3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vigor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dedication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absorption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204CE12D" w14:textId="77777777" w:rsidR="00784658" w:rsidRPr="00333EB4" w:rsidRDefault="00784658" w:rsidP="00333E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(2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tasks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management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40672CE0" w14:textId="77777777" w:rsidR="00784658" w:rsidRPr="00333EB4" w:rsidRDefault="00784658" w:rsidP="00333E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derived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from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selected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38C76D21" w14:textId="22FDEF03" w:rsidR="00784658" w:rsidRPr="00333EB4" w:rsidRDefault="00784658" w:rsidP="00333E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Comparing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Scores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Demographics</w:t>
      </w:r>
      <w:proofErr w:type="spellEnd"/>
    </w:p>
    <w:p w14:paraId="15E27B33" w14:textId="6F48D77F" w:rsidR="00784658" w:rsidRPr="00333EB4" w:rsidRDefault="00784658" w:rsidP="00333EB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r w:rsidRPr="00333EB4">
        <w:rPr>
          <w:rFonts w:ascii="Times New Roman" w:eastAsia="Times New Roman" w:hAnsi="Times New Roman" w:cs="Times New Roman"/>
        </w:rPr>
        <w:t xml:space="preserve">a </w:t>
      </w:r>
      <w:proofErr w:type="spellStart"/>
      <w:r w:rsidRPr="00333EB4">
        <w:rPr>
          <w:rFonts w:ascii="Times New Roman" w:eastAsia="Times New Roman" w:hAnsi="Times New Roman" w:cs="Times New Roman"/>
        </w:rPr>
        <w:t>respective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tecnique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one-way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ANOVA</w:t>
      </w:r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etc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proofErr w:type="gram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comparisons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gender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education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1E5C2BF6" w14:textId="77777777" w:rsidR="00784658" w:rsidRPr="00333EB4" w:rsidRDefault="00784658" w:rsidP="00333EB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Conduct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post-hoc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Tukey’s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HSD) </w:t>
      </w:r>
      <w:proofErr w:type="spellStart"/>
      <w:r w:rsidRPr="00333EB4">
        <w:rPr>
          <w:rFonts w:ascii="Times New Roman" w:eastAsia="Times New Roman" w:hAnsi="Times New Roman" w:cs="Times New Roman"/>
        </w:rPr>
        <w:t>only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when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ANOVA </w:t>
      </w:r>
      <w:proofErr w:type="spellStart"/>
      <w:r w:rsidRPr="00333EB4">
        <w:rPr>
          <w:rFonts w:ascii="Times New Roman" w:eastAsia="Times New Roman" w:hAnsi="Times New Roman" w:cs="Times New Roman"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ACAF353" w14:textId="58802177" w:rsidR="001A2D45" w:rsidRPr="00333EB4" w:rsidRDefault="0000000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follows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find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scoring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info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Appendix </w:t>
      </w:r>
      <w:proofErr w:type="spellStart"/>
      <w:r w:rsidRPr="00333EB4">
        <w:rPr>
          <w:rFonts w:ascii="Times New Roman" w:eastAsia="Times New Roman" w:hAnsi="Times New Roman" w:cs="Times New Roman"/>
        </w:rPr>
        <w:t>section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36E59F4E" w14:textId="77777777" w:rsidR="001A2D45" w:rsidRPr="00333EB4" w:rsidRDefault="00000000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30 </w:t>
      </w:r>
      <w:proofErr w:type="spellStart"/>
      <w:r w:rsidRPr="00333EB4">
        <w:rPr>
          <w:rFonts w:ascii="Times New Roman" w:eastAsia="Times New Roman" w:hAnsi="Times New Roman" w:cs="Times New Roman"/>
        </w:rPr>
        <w:t>Item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VFI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</w:p>
    <w:p w14:paraId="221D393F" w14:textId="77777777" w:rsidR="001A2D45" w:rsidRPr="00333EB4" w:rsidRDefault="00000000" w:rsidP="00333EB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protection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enhancement</w:t>
      </w:r>
      <w:proofErr w:type="spellEnd"/>
    </w:p>
    <w:p w14:paraId="5629EB6B" w14:textId="77777777" w:rsidR="001A2D45" w:rsidRPr="00333EB4" w:rsidRDefault="00000000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: </w:t>
      </w:r>
      <w:r w:rsidRPr="00333EB4">
        <w:rPr>
          <w:rFonts w:ascii="Times New Roman" w:eastAsia="Times New Roman" w:hAnsi="Times New Roman" w:cs="Times New Roman"/>
        </w:rPr>
        <w:t xml:space="preserve">9 </w:t>
      </w:r>
      <w:proofErr w:type="spellStart"/>
      <w:r w:rsidRPr="00333EB4">
        <w:rPr>
          <w:rFonts w:ascii="Times New Roman" w:eastAsia="Times New Roman" w:hAnsi="Times New Roman" w:cs="Times New Roman"/>
        </w:rPr>
        <w:t>Item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Utrecht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</w:p>
    <w:p w14:paraId="2139574B" w14:textId="77777777" w:rsidR="001A2D45" w:rsidRPr="00333EB4" w:rsidRDefault="00000000" w:rsidP="00333EB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vigor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dedication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absorption</w:t>
      </w:r>
      <w:proofErr w:type="spellEnd"/>
    </w:p>
    <w:p w14:paraId="2FD68F8B" w14:textId="77777777" w:rsidR="001A2D45" w:rsidRPr="00333EB4" w:rsidRDefault="00000000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: </w:t>
      </w:r>
      <w:r w:rsidRPr="00333EB4">
        <w:rPr>
          <w:rFonts w:ascii="Times New Roman" w:eastAsia="Times New Roman" w:hAnsi="Times New Roman" w:cs="Times New Roman"/>
        </w:rPr>
        <w:t xml:space="preserve">11 </w:t>
      </w:r>
      <w:proofErr w:type="spellStart"/>
      <w:r w:rsidRPr="00333EB4">
        <w:rPr>
          <w:rFonts w:ascii="Times New Roman" w:eastAsia="Times New Roman" w:hAnsi="Times New Roman" w:cs="Times New Roman"/>
        </w:rPr>
        <w:t>item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</w:p>
    <w:p w14:paraId="554DA348" w14:textId="77777777" w:rsidR="001A2D45" w:rsidRPr="00333EB4" w:rsidRDefault="00000000" w:rsidP="00333EB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Was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normally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2: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tasks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(4 </w:t>
      </w:r>
      <w:proofErr w:type="spellStart"/>
      <w:r w:rsidRPr="00333EB4">
        <w:rPr>
          <w:rFonts w:ascii="Times New Roman" w:eastAsia="Times New Roman" w:hAnsi="Times New Roman" w:cs="Times New Roman"/>
        </w:rPr>
        <w:t>items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(7 </w:t>
      </w:r>
      <w:proofErr w:type="spellStart"/>
      <w:r w:rsidRPr="00333EB4">
        <w:rPr>
          <w:rFonts w:ascii="Times New Roman" w:eastAsia="Times New Roman" w:hAnsi="Times New Roman" w:cs="Times New Roman"/>
        </w:rPr>
        <w:t>items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1E7DEE8E" w14:textId="77777777" w:rsidR="001A2D45" w:rsidRPr="00333EB4" w:rsidRDefault="00000000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don’t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333EB4">
        <w:rPr>
          <w:rFonts w:ascii="Times New Roman" w:eastAsia="Times New Roman" w:hAnsi="Times New Roman" w:cs="Times New Roman"/>
        </w:rPr>
        <w:t>official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but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could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maybe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following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6035788E" w14:textId="77777777" w:rsidR="001A2D45" w:rsidRPr="00333EB4" w:rsidRDefault="00000000" w:rsidP="00333EB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>“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six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months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do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plan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increase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decrease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maintain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current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>?”</w:t>
      </w:r>
    </w:p>
    <w:p w14:paraId="7E5EB78C" w14:textId="77777777" w:rsidR="001A2D45" w:rsidRPr="00333EB4" w:rsidRDefault="00000000" w:rsidP="00333EB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“How </w:t>
      </w:r>
      <w:proofErr w:type="spellStart"/>
      <w:r w:rsidRPr="00333EB4">
        <w:rPr>
          <w:rFonts w:ascii="Times New Roman" w:eastAsia="Times New Roman" w:hAnsi="Times New Roman" w:cs="Times New Roman"/>
        </w:rPr>
        <w:t>long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</w:rPr>
        <w:t>?”</w:t>
      </w:r>
    </w:p>
    <w:p w14:paraId="12B47F81" w14:textId="77777777" w:rsidR="001A2D45" w:rsidRPr="00333EB4" w:rsidRDefault="00000000" w:rsidP="00333EB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lastRenderedPageBreak/>
        <w:t xml:space="preserve">“I </w:t>
      </w:r>
      <w:proofErr w:type="spellStart"/>
      <w:r w:rsidRPr="00333EB4">
        <w:rPr>
          <w:rFonts w:ascii="Times New Roman" w:eastAsia="Times New Roman" w:hAnsi="Times New Roman" w:cs="Times New Roman"/>
        </w:rPr>
        <w:t>would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encourage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people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” (1 = </w:t>
      </w:r>
      <w:proofErr w:type="spellStart"/>
      <w:r w:rsidRPr="00333EB4">
        <w:rPr>
          <w:rFonts w:ascii="Times New Roman" w:eastAsia="Times New Roman" w:hAnsi="Times New Roman" w:cs="Times New Roman"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Disagree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5 = </w:t>
      </w:r>
      <w:proofErr w:type="spellStart"/>
      <w:r w:rsidRPr="00333EB4">
        <w:rPr>
          <w:rFonts w:ascii="Times New Roman" w:eastAsia="Times New Roman" w:hAnsi="Times New Roman" w:cs="Times New Roman"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Agree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318C4544" w14:textId="77777777" w:rsidR="001A2D45" w:rsidRPr="00333EB4" w:rsidRDefault="00000000" w:rsidP="00333EB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ever </w:t>
      </w:r>
      <w:proofErr w:type="spellStart"/>
      <w:r w:rsidRPr="00333EB4">
        <w:rPr>
          <w:rFonts w:ascii="Times New Roman" w:eastAsia="Times New Roman" w:hAnsi="Times New Roman" w:cs="Times New Roman"/>
        </w:rPr>
        <w:t>encouraged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someone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else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38902FEB" w14:textId="485D5C14" w:rsidR="00784658" w:rsidRPr="00333EB4" w:rsidRDefault="00784658" w:rsidP="00333E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Barriers</w:t>
      </w:r>
      <w:proofErr w:type="spellEnd"/>
    </w:p>
    <w:p w14:paraId="6D4A0D87" w14:textId="4690B583" w:rsidR="001A2D45" w:rsidRPr="00333EB4" w:rsidRDefault="0000000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An </w:t>
      </w:r>
      <w:proofErr w:type="spellStart"/>
      <w:r w:rsidRPr="00333EB4">
        <w:rPr>
          <w:rFonts w:ascii="Times New Roman" w:eastAsia="Times New Roman" w:hAnsi="Times New Roman" w:cs="Times New Roman"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Main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Introduce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similar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broader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proofErr w:type="gram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CF5ED5A" w14:textId="77777777" w:rsidR="001A2D45" w:rsidRPr="00333EB4" w:rsidRDefault="0000000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119F7289" w14:textId="77777777" w:rsidR="001A2D45" w:rsidRPr="00333EB4" w:rsidRDefault="00000000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Previous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how </w:t>
      </w:r>
      <w:proofErr w:type="spellStart"/>
      <w:r w:rsidRPr="00333EB4">
        <w:rPr>
          <w:rFonts w:ascii="Times New Roman" w:eastAsia="Times New Roman" w:hAnsi="Times New Roman" w:cs="Times New Roman"/>
        </w:rPr>
        <w:t>did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get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 </w:t>
      </w:r>
    </w:p>
    <w:p w14:paraId="2CF9A745" w14:textId="77777777" w:rsidR="001A2D45" w:rsidRPr="00333EB4" w:rsidRDefault="00000000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involved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in?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0092D012" w14:textId="77777777" w:rsidR="001A2D45" w:rsidRPr="00333EB4" w:rsidRDefault="00000000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do they </w:t>
      </w:r>
      <w:proofErr w:type="spellStart"/>
      <w:r w:rsidRPr="00333EB4">
        <w:rPr>
          <w:rFonts w:ascii="Times New Roman" w:eastAsia="Times New Roman" w:hAnsi="Times New Roman" w:cs="Times New Roman"/>
        </w:rPr>
        <w:t>find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most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rewarding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?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1B44F964" w14:textId="77777777" w:rsidR="001A2D45" w:rsidRPr="00333EB4" w:rsidRDefault="00000000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 </w:t>
      </w:r>
    </w:p>
    <w:p w14:paraId="4020234F" w14:textId="77777777" w:rsidR="001A2D45" w:rsidRPr="00333EB4" w:rsidRDefault="00000000" w:rsidP="00333EB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personal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</w:p>
    <w:p w14:paraId="1F2A6D42" w14:textId="77777777" w:rsidR="00DA6B30" w:rsidRPr="00333EB4" w:rsidRDefault="00DA6B3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Conduct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9AE2D28" w14:textId="77777777" w:rsidR="00DA6B30" w:rsidRPr="00333EB4" w:rsidRDefault="00DA6B3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examine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A072980" w14:textId="77777777" w:rsidR="00DA6B30" w:rsidRPr="00333EB4" w:rsidRDefault="00DA6B3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Simplify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 </w:t>
      </w:r>
      <w:proofErr w:type="spellStart"/>
      <w:r w:rsidRPr="00333EB4">
        <w:rPr>
          <w:rFonts w:ascii="Times New Roman" w:eastAsia="Times New Roman" w:hAnsi="Times New Roman" w:cs="Times New Roman"/>
        </w:rPr>
        <w:t>constraints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methods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impractical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A8113FA" w14:textId="4AB35E06" w:rsidR="00DA6B30" w:rsidRPr="00333EB4" w:rsidRDefault="00DA6B30" w:rsidP="00333E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Demographics</w:t>
      </w:r>
      <w:proofErr w:type="spellEnd"/>
    </w:p>
    <w:p w14:paraId="259E3CDC" w14:textId="77777777" w:rsidR="00DA6B30" w:rsidRPr="00333EB4" w:rsidRDefault="00DA6B30" w:rsidP="00333EB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>:</w:t>
      </w:r>
    </w:p>
    <w:p w14:paraId="42918722" w14:textId="77777777" w:rsidR="00DA6B30" w:rsidRPr="00333EB4" w:rsidRDefault="00DA6B30" w:rsidP="00333EB4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Previous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Yes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/No)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how </w:t>
      </w:r>
      <w:proofErr w:type="spellStart"/>
      <w:r w:rsidRPr="00333EB4">
        <w:rPr>
          <w:rFonts w:ascii="Times New Roman" w:eastAsia="Times New Roman" w:hAnsi="Times New Roman" w:cs="Times New Roman"/>
        </w:rPr>
        <w:t>participants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started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3F9FA91" w14:textId="77777777" w:rsidR="00DA6B30" w:rsidRPr="00333EB4" w:rsidRDefault="00DA6B30" w:rsidP="00333EB4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Project </w:t>
      </w:r>
      <w:proofErr w:type="spellStart"/>
      <w:r w:rsidRPr="00333EB4">
        <w:rPr>
          <w:rFonts w:ascii="Times New Roman" w:eastAsia="Times New Roman" w:hAnsi="Times New Roman" w:cs="Times New Roman"/>
        </w:rPr>
        <w:t>involvement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which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on)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rewarding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80E7701" w14:textId="77777777" w:rsidR="00DA6B30" w:rsidRPr="00333EB4" w:rsidRDefault="00DA6B30" w:rsidP="00333EB4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weekly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2DF80B2D" w14:textId="77777777" w:rsidR="00DA6B30" w:rsidRPr="00333EB4" w:rsidRDefault="00DA6B30" w:rsidP="00333EB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>:</w:t>
      </w:r>
    </w:p>
    <w:p w14:paraId="1FD17E76" w14:textId="77777777" w:rsidR="00DA6B30" w:rsidRPr="00333EB4" w:rsidRDefault="00DA6B30" w:rsidP="00333EB4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Project </w:t>
      </w:r>
      <w:proofErr w:type="spellStart"/>
      <w:r w:rsidRPr="00333EB4">
        <w:rPr>
          <w:rFonts w:ascii="Times New Roman" w:eastAsia="Times New Roman" w:hAnsi="Times New Roman" w:cs="Times New Roman"/>
        </w:rPr>
        <w:t>involvement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2ED48C9" w14:textId="77777777" w:rsidR="00DA6B30" w:rsidRPr="00333EB4" w:rsidRDefault="00DA6B30" w:rsidP="00333EB4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E791483" w14:textId="3C279C5E" w:rsidR="00DA6B30" w:rsidRPr="00333EB4" w:rsidRDefault="00DA6B30" w:rsidP="00333E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Awareness</w:t>
      </w:r>
      <w:proofErr w:type="spellEnd"/>
    </w:p>
    <w:p w14:paraId="4A287EFD" w14:textId="2C303E8F" w:rsidR="001A2D45" w:rsidRPr="00333EB4" w:rsidRDefault="0000000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Analysis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whether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has a </w:t>
      </w:r>
      <w:proofErr w:type="spellStart"/>
      <w:r w:rsidRPr="00333EB4">
        <w:rPr>
          <w:rFonts w:ascii="Times New Roman" w:eastAsia="Times New Roman" w:hAnsi="Times New Roman" w:cs="Times New Roman"/>
        </w:rPr>
        <w:t>meaningful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8B991F3" w14:textId="77777777" w:rsidR="00DA6B30" w:rsidRPr="00333EB4" w:rsidRDefault="00DA6B3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descriptive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statistics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sustainability-related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familiarity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impact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perception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7220EF2A" w14:textId="77777777" w:rsidR="00DA6B30" w:rsidRPr="00333EB4" w:rsidRDefault="00DA6B3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48420EE" w14:textId="77777777" w:rsidR="00DA6B30" w:rsidRPr="00333EB4" w:rsidRDefault="00DA6B3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Frame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exploratory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survey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depth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7AE9D84" w14:textId="75FEB438" w:rsidR="00DA6B30" w:rsidRPr="00333EB4" w:rsidRDefault="00DA6B30" w:rsidP="00333E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Preferences</w:t>
      </w:r>
      <w:proofErr w:type="spellEnd"/>
    </w:p>
    <w:p w14:paraId="0E9C8DB9" w14:textId="49366BE8" w:rsidR="001A2D45" w:rsidRPr="00333EB4" w:rsidRDefault="0000000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Preferences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test </w:t>
      </w:r>
      <w:proofErr w:type="spellStart"/>
      <w:r w:rsidRPr="00333EB4">
        <w:rPr>
          <w:rFonts w:ascii="Times New Roman" w:eastAsia="Times New Roman" w:hAnsi="Times New Roman" w:cs="Times New Roman"/>
        </w:rPr>
        <w:t>whether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effectiveness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channels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</w:p>
    <w:p w14:paraId="48F67A42" w14:textId="77777777" w:rsidR="00DA6B30" w:rsidRPr="00333EB4" w:rsidRDefault="00DA6B3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effectiveness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a </w:t>
      </w:r>
      <w:proofErr w:type="spellStart"/>
      <w:r w:rsidRPr="00333EB4">
        <w:rPr>
          <w:rFonts w:ascii="Times New Roman" w:eastAsia="Times New Roman" w:hAnsi="Times New Roman" w:cs="Times New Roman"/>
        </w:rPr>
        <w:t>predictor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2BD2313" w14:textId="77777777" w:rsidR="00DA6B30" w:rsidRPr="00333EB4" w:rsidRDefault="00DA6B3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challenges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delayed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overwhelming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volume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6F84502" w14:textId="2035C0E9" w:rsidR="00DA6B30" w:rsidRPr="00333EB4" w:rsidRDefault="00DA6B30" w:rsidP="00333EB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Examine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preferences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B4360D4" w14:textId="33D36A89" w:rsidR="001A2D45" w:rsidRPr="00333EB4" w:rsidRDefault="00000000" w:rsidP="00333E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Compare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new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old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029CDADF" w14:textId="77777777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Categorize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(&lt;1 </w:t>
      </w:r>
      <w:proofErr w:type="spellStart"/>
      <w:r w:rsidRPr="00333EB4">
        <w:rPr>
          <w:rFonts w:ascii="Times New Roman" w:eastAsia="Times New Roman" w:hAnsi="Times New Roman" w:cs="Times New Roman"/>
        </w:rPr>
        <w:t>year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(&gt;1 </w:t>
      </w:r>
      <w:proofErr w:type="spellStart"/>
      <w:r w:rsidRPr="00333EB4">
        <w:rPr>
          <w:rFonts w:ascii="Times New Roman" w:eastAsia="Times New Roman" w:hAnsi="Times New Roman" w:cs="Times New Roman"/>
        </w:rPr>
        <w:t>year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groups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6855821" w14:textId="77777777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Compare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metrics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respect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5492CFE4" w14:textId="77777777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33EB4">
        <w:rPr>
          <w:rFonts w:ascii="Times New Roman" w:eastAsia="Times New Roman" w:hAnsi="Times New Roman" w:cs="Times New Roman"/>
        </w:rPr>
        <w:t>t</w:t>
      </w:r>
      <w:proofErr w:type="gramEnd"/>
      <w:r w:rsidRPr="00333EB4">
        <w:rPr>
          <w:rFonts w:ascii="Times New Roman" w:eastAsia="Times New Roman" w:hAnsi="Times New Roman" w:cs="Times New Roman"/>
        </w:rPr>
        <w:t>-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two </w:t>
      </w:r>
      <w:proofErr w:type="spellStart"/>
      <w:r w:rsidRPr="00333EB4">
        <w:rPr>
          <w:rFonts w:ascii="Times New Roman" w:eastAsia="Times New Roman" w:hAnsi="Times New Roman" w:cs="Times New Roman"/>
        </w:rPr>
        <w:t>groups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vs.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1F3E4FDF" w14:textId="77777777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ANOVA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detailed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tenure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&lt;6 </w:t>
      </w:r>
      <w:proofErr w:type="spellStart"/>
      <w:r w:rsidRPr="00333EB4">
        <w:rPr>
          <w:rFonts w:ascii="Times New Roman" w:eastAsia="Times New Roman" w:hAnsi="Times New Roman" w:cs="Times New Roman"/>
        </w:rPr>
        <w:t>months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1-3 </w:t>
      </w:r>
      <w:proofErr w:type="spellStart"/>
      <w:r w:rsidRPr="00333EB4">
        <w:rPr>
          <w:rFonts w:ascii="Times New Roman" w:eastAsia="Times New Roman" w:hAnsi="Times New Roman" w:cs="Times New Roman"/>
        </w:rPr>
        <w:t>years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etc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.), </w:t>
      </w:r>
      <w:proofErr w:type="spellStart"/>
      <w:r w:rsidRPr="00333EB4">
        <w:rPr>
          <w:rFonts w:ascii="Times New Roman" w:eastAsia="Times New Roman" w:hAnsi="Times New Roman" w:cs="Times New Roman"/>
        </w:rPr>
        <w:t>supplemented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post-hoc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C7875E0" w14:textId="5FCCFFAA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>., "</w:t>
      </w: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two </w:t>
      </w:r>
      <w:proofErr w:type="spellStart"/>
      <w:r w:rsidRPr="00333EB4">
        <w:rPr>
          <w:rFonts w:ascii="Times New Roman" w:eastAsia="Times New Roman" w:hAnsi="Times New Roman" w:cs="Times New Roman"/>
        </w:rPr>
        <w:t>years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continue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?")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117065BC" w14:textId="77777777" w:rsidR="00DA6B30" w:rsidRPr="00333EB4" w:rsidRDefault="00000000" w:rsidP="00333E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Decision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trees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</w:p>
    <w:p w14:paraId="1796C177" w14:textId="77777777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decision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trees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Simplify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models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avoid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overfitting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D88B572" w14:textId="77777777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Avoid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random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size.</w:t>
      </w:r>
    </w:p>
    <w:p w14:paraId="00E84388" w14:textId="3FED34CD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Present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visually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feature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importance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rankings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3422A8B9" w14:textId="77777777" w:rsidR="00DA6B30" w:rsidRPr="00333EB4" w:rsidRDefault="00DA6B30" w:rsidP="00333E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333EB4">
        <w:rPr>
          <w:rFonts w:ascii="Times New Roman" w:eastAsia="Times New Roman" w:hAnsi="Times New Roman" w:cs="Times New Roman"/>
          <w:b/>
          <w:bCs/>
        </w:rPr>
        <w:t>Open-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Ended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Questions</w:t>
      </w:r>
      <w:proofErr w:type="spellEnd"/>
    </w:p>
    <w:p w14:paraId="7B3FE495" w14:textId="3848E971" w:rsidR="00DA6B30" w:rsidRPr="00333EB4" w:rsidRDefault="0000000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open-ended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own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?",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process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cleaning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removing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stopwords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standardizing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formatting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techniques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TF-IDF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clouds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mentioned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terms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Apply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methods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LDA)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connections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Sentiment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3EB4" w:rsidRPr="00333EB4">
        <w:rPr>
          <w:rFonts w:ascii="Times New Roman" w:eastAsia="Times New Roman" w:hAnsi="Times New Roman" w:cs="Times New Roman"/>
        </w:rPr>
        <w:t>and</w:t>
      </w:r>
      <w:proofErr w:type="spellEnd"/>
      <w:r w:rsidR="00333EB4"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3EB4" w:rsidRPr="00333EB4">
        <w:rPr>
          <w:rFonts w:ascii="Times New Roman" w:eastAsia="Times New Roman" w:hAnsi="Times New Roman" w:cs="Times New Roman"/>
        </w:rPr>
        <w:t>emotional</w:t>
      </w:r>
      <w:proofErr w:type="spellEnd"/>
      <w:r w:rsidR="00333EB4"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tools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gauge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emotional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tones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positive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neutral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negative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while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40% 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30%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deepen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correlate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</w:t>
      </w:r>
      <w:r w:rsidRPr="00333EB4">
        <w:rPr>
          <w:rFonts w:ascii="Times New Roman" w:eastAsia="Times New Roman" w:hAnsi="Times New Roman" w:cs="Times New Roman"/>
        </w:rPr>
        <w:lastRenderedPageBreak/>
        <w:t>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Finally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visualize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bar </w:t>
      </w:r>
      <w:proofErr w:type="spellStart"/>
      <w:r w:rsidRPr="00333EB4">
        <w:rPr>
          <w:rFonts w:ascii="Times New Roman" w:eastAsia="Times New Roman" w:hAnsi="Times New Roman" w:cs="Times New Roman"/>
        </w:rPr>
        <w:t>charts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heatmaps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reveal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patterns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converts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qualitative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actionable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quantitative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11D666F0" w14:textId="32CCF0D5" w:rsidR="001A2D45" w:rsidRPr="00333EB4" w:rsidRDefault="0000000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certain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time, </w:t>
      </w:r>
      <w:proofErr w:type="spellStart"/>
      <w:r w:rsidRPr="00333EB4">
        <w:rPr>
          <w:rFonts w:ascii="Times New Roman" w:eastAsia="Times New Roman" w:hAnsi="Times New Roman" w:cs="Times New Roman"/>
        </w:rPr>
        <w:t>prioritise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processing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open-ended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Start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manually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reviewing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>., "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>," "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growth</w:t>
      </w:r>
      <w:proofErr w:type="spellEnd"/>
      <w:r w:rsidRPr="00333EB4">
        <w:rPr>
          <w:rFonts w:ascii="Times New Roman" w:eastAsia="Times New Roman" w:hAnsi="Times New Roman" w:cs="Times New Roman"/>
        </w:rPr>
        <w:t>," "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connection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"). </w:t>
      </w:r>
      <w:proofErr w:type="spellStart"/>
      <w:r w:rsidRPr="00333EB4">
        <w:rPr>
          <w:rFonts w:ascii="Times New Roman" w:eastAsia="Times New Roman" w:hAnsi="Times New Roman" w:cs="Times New Roman"/>
        </w:rPr>
        <w:t>Assign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calculate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33EB4">
        <w:rPr>
          <w:rFonts w:ascii="Times New Roman" w:eastAsia="Times New Roman" w:hAnsi="Times New Roman" w:cs="Times New Roman"/>
        </w:rPr>
        <w:t>dominant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basic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tools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Excel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333EB4">
        <w:rPr>
          <w:rFonts w:ascii="Times New Roman" w:eastAsia="Times New Roman" w:hAnsi="Times New Roman" w:cs="Times New Roman"/>
        </w:rPr>
        <w:t>scripts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mentioned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phrases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streamlined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provides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meaningful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without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requiring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advanced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techniques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LDA, </w:t>
      </w:r>
      <w:proofErr w:type="spellStart"/>
      <w:r w:rsidRPr="00333EB4">
        <w:rPr>
          <w:rFonts w:ascii="Times New Roman" w:eastAsia="Times New Roman" w:hAnsi="Times New Roman" w:cs="Times New Roman"/>
        </w:rPr>
        <w:t>making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it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practical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immediate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18C2DFD4" w14:textId="77777777" w:rsidR="00DA6B30" w:rsidRPr="00333EB4" w:rsidRDefault="00DA6B30" w:rsidP="00333E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Practical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Implications</w:t>
      </w:r>
      <w:proofErr w:type="spellEnd"/>
    </w:p>
    <w:p w14:paraId="7137DF9C" w14:textId="77777777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visualizations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(bar </w:t>
      </w:r>
      <w:proofErr w:type="spellStart"/>
      <w:r w:rsidRPr="00333EB4">
        <w:rPr>
          <w:rFonts w:ascii="Times New Roman" w:eastAsia="Times New Roman" w:hAnsi="Times New Roman" w:cs="Times New Roman"/>
        </w:rPr>
        <w:t>charts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scatterplots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heatmaps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present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C0A6444" w14:textId="77777777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Provide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actionable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recommendations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7051E907" w14:textId="77777777" w:rsidR="00DA6B30" w:rsidRPr="00333EB4" w:rsidRDefault="00DA6B30" w:rsidP="00333EB4">
      <w:pPr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Enhancing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addressing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9190B40" w14:textId="77777777" w:rsidR="00333EB4" w:rsidRPr="00333EB4" w:rsidRDefault="00DA6B30" w:rsidP="00333EB4">
      <w:pPr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Improving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strategies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5C92B50" w14:textId="77777777" w:rsidR="00333EB4" w:rsidRPr="00333EB4" w:rsidRDefault="00DA6B30" w:rsidP="00333EB4">
      <w:pPr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Retaining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targeting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6CC6D08" w14:textId="5618F15E" w:rsidR="00DA6B30" w:rsidRPr="00333EB4" w:rsidRDefault="00DA6B30" w:rsidP="00333EB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Emphasize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small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size, </w:t>
      </w:r>
      <w:proofErr w:type="spellStart"/>
      <w:r w:rsidRPr="00333EB4">
        <w:rPr>
          <w:rFonts w:ascii="Times New Roman" w:eastAsia="Times New Roman" w:hAnsi="Times New Roman" w:cs="Times New Roman"/>
        </w:rPr>
        <w:t>lack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validated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in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937C95F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C352698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3E1649F8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8208422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27A12C7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02F0A85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7B3934A" w14:textId="77777777" w:rsidR="001A2D45" w:rsidRPr="00333EB4" w:rsidRDefault="001A2D45" w:rsidP="00333E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F266B35" w14:textId="77777777" w:rsidR="001A2D45" w:rsidRPr="00333EB4" w:rsidRDefault="001A2D45" w:rsidP="00333EB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FEB8442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492DE298" w14:textId="77777777" w:rsidR="00333EB4" w:rsidRPr="00333EB4" w:rsidRDefault="00333EB4" w:rsidP="00333EB4">
      <w:pPr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</w:rPr>
        <w:br w:type="page"/>
      </w:r>
    </w:p>
    <w:p w14:paraId="293D8DB4" w14:textId="15F0926B" w:rsidR="001A2D45" w:rsidRPr="00333EB4" w:rsidRDefault="00000000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proofErr w:type="gramStart"/>
      <w:r w:rsidRPr="00333EB4">
        <w:rPr>
          <w:rFonts w:ascii="Times New Roman" w:eastAsia="Times New Roman" w:hAnsi="Times New Roman" w:cs="Times New Roman"/>
          <w:b/>
        </w:rPr>
        <w:lastRenderedPageBreak/>
        <w:t>APPENDIX -</w:t>
      </w:r>
      <w:proofErr w:type="gramEnd"/>
      <w:r w:rsidRPr="00333EB4">
        <w:rPr>
          <w:rFonts w:ascii="Times New Roman" w:eastAsia="Times New Roman" w:hAnsi="Times New Roman" w:cs="Times New Roman"/>
          <w:b/>
        </w:rPr>
        <w:t xml:space="preserve"> SCORING INFORMATION</w:t>
      </w:r>
    </w:p>
    <w:p w14:paraId="3971EEEF" w14:textId="77777777" w:rsidR="001A2D45" w:rsidRPr="00333EB4" w:rsidRDefault="00000000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</w:rPr>
        <w:t xml:space="preserve">APPENDIX </w:t>
      </w:r>
      <w:proofErr w:type="gramStart"/>
      <w:r w:rsidRPr="00333EB4">
        <w:rPr>
          <w:rFonts w:ascii="Times New Roman" w:eastAsia="Times New Roman" w:hAnsi="Times New Roman" w:cs="Times New Roman"/>
          <w:b/>
        </w:rPr>
        <w:t>A -</w:t>
      </w:r>
      <w:proofErr w:type="gramEnd"/>
      <w:r w:rsidRPr="00333EB4">
        <w:rPr>
          <w:rFonts w:ascii="Times New Roman" w:eastAsia="Times New Roman" w:hAnsi="Times New Roman" w:cs="Times New Roman"/>
          <w:b/>
        </w:rPr>
        <w:t xml:space="preserve"> MOTIVATIONS</w:t>
      </w:r>
    </w:p>
    <w:p w14:paraId="62E817AC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CE0FAF2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B4A3925" wp14:editId="297F266C">
            <wp:extent cx="5943600" cy="4610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81178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69316A9" w14:textId="77777777" w:rsidR="001A2D45" w:rsidRPr="00333EB4" w:rsidRDefault="00000000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</w:rPr>
        <w:lastRenderedPageBreak/>
        <w:t xml:space="preserve">APPENDIX </w:t>
      </w:r>
      <w:proofErr w:type="gramStart"/>
      <w:r w:rsidRPr="00333EB4">
        <w:rPr>
          <w:rFonts w:ascii="Times New Roman" w:eastAsia="Times New Roman" w:hAnsi="Times New Roman" w:cs="Times New Roman"/>
          <w:b/>
        </w:rPr>
        <w:t>B -</w:t>
      </w:r>
      <w:proofErr w:type="gramEnd"/>
      <w:r w:rsidRPr="00333EB4">
        <w:rPr>
          <w:rFonts w:ascii="Times New Roman" w:eastAsia="Times New Roman" w:hAnsi="Times New Roman" w:cs="Times New Roman"/>
          <w:b/>
        </w:rPr>
        <w:t xml:space="preserve"> ENGAGEMENT</w:t>
      </w:r>
      <w:r w:rsidRPr="00333EB4">
        <w:rPr>
          <w:rFonts w:ascii="Times New Roman" w:eastAsia="Times New Roman" w:hAnsi="Times New Roman" w:cs="Times New Roman"/>
          <w:b/>
        </w:rPr>
        <w:br/>
      </w:r>
      <w:r w:rsidRPr="00333EB4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DF1B8E1" wp14:editId="0D4E59B2">
            <wp:extent cx="5943600" cy="5676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94B15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42221781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</w:rPr>
        <w:t xml:space="preserve">Biz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short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version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333EB4">
        <w:rPr>
          <w:rFonts w:ascii="Times New Roman" w:eastAsia="Times New Roman" w:hAnsi="Times New Roman" w:cs="Times New Roman"/>
          <w:b/>
        </w:rPr>
        <w:t>kullandık -</w:t>
      </w:r>
      <w:proofErr w:type="gramEnd"/>
      <w:r w:rsidRPr="00333EB4">
        <w:rPr>
          <w:rFonts w:ascii="Times New Roman" w:eastAsia="Times New Roman" w:hAnsi="Times New Roman" w:cs="Times New Roman"/>
          <w:b/>
        </w:rPr>
        <w:t xml:space="preserve"> yanında * olanları yani. Burada üç tane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subscale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var altta yazıyor.</w:t>
      </w:r>
    </w:p>
    <w:p w14:paraId="30EC9684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F5719F2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 wp14:anchorId="11D3BFDC" wp14:editId="03740543">
            <wp:extent cx="6433808" cy="2424113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808" cy="242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B4A81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39B61ECA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AC802C0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061E51A7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542F153C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2D4E8706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389EBE0F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3CEE06DD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28A15B8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566FE79E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E1585F2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3AC05DD2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00DC1104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585841F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3E2A5F8C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AA04B5F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2786502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0FC7F457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04F575C4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57B3909B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EBF7130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316600FA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314035B0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075863A1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64F2BDED" w14:textId="77777777" w:rsidR="001A2D45" w:rsidRPr="00333EB4" w:rsidRDefault="00000000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</w:rPr>
        <w:lastRenderedPageBreak/>
        <w:t xml:space="preserve">APPENDIX </w:t>
      </w:r>
      <w:proofErr w:type="gramStart"/>
      <w:r w:rsidRPr="00333EB4">
        <w:rPr>
          <w:rFonts w:ascii="Times New Roman" w:eastAsia="Times New Roman" w:hAnsi="Times New Roman" w:cs="Times New Roman"/>
          <w:b/>
        </w:rPr>
        <w:t>C -</w:t>
      </w:r>
      <w:proofErr w:type="gramEnd"/>
      <w:r w:rsidRPr="00333EB4">
        <w:rPr>
          <w:rFonts w:ascii="Times New Roman" w:eastAsia="Times New Roman" w:hAnsi="Times New Roman" w:cs="Times New Roman"/>
          <w:b/>
        </w:rPr>
        <w:t xml:space="preserve"> SATISFACTION</w:t>
      </w:r>
    </w:p>
    <w:p w14:paraId="4F6D0DE8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4FA8082" wp14:editId="6920B24C">
            <wp:extent cx="2790825" cy="2095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B4AD5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664FADB" wp14:editId="0AF876F5">
            <wp:extent cx="3114675" cy="320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2A725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3B430125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48FC5F4" w14:textId="77777777" w:rsidR="001A2D45" w:rsidRPr="00333EB4" w:rsidRDefault="00000000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Task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ve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management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şeklinde iki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subscale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var ve onlara denk gelen sorular bu şekilde.</w:t>
      </w:r>
    </w:p>
    <w:p w14:paraId="6AA9EF7D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1455840D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FB7A0F1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32A61C90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9A28014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A1848D8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70AF6E8B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1530AFCD" w14:textId="77777777" w:rsidR="001A2D45" w:rsidRPr="00333EB4" w:rsidRDefault="00000000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333EB4">
        <w:rPr>
          <w:rFonts w:ascii="Times New Roman" w:eastAsia="Times New Roman" w:hAnsi="Times New Roman" w:cs="Times New Roman"/>
          <w:b/>
        </w:rPr>
        <w:t xml:space="preserve">APPENDIX </w:t>
      </w:r>
      <w:proofErr w:type="gramStart"/>
      <w:r w:rsidRPr="00333EB4">
        <w:rPr>
          <w:rFonts w:ascii="Times New Roman" w:eastAsia="Times New Roman" w:hAnsi="Times New Roman" w:cs="Times New Roman"/>
          <w:b/>
        </w:rPr>
        <w:t>D -</w:t>
      </w:r>
      <w:proofErr w:type="gramEnd"/>
      <w:r w:rsidRPr="00333EB4">
        <w:rPr>
          <w:rFonts w:ascii="Times New Roman" w:eastAsia="Times New Roman" w:hAnsi="Times New Roman" w:cs="Times New Roman"/>
          <w:b/>
        </w:rPr>
        <w:t xml:space="preserve"> POTENTIAL QUESTIONS TO MEASURE COMMITMENT</w:t>
      </w:r>
    </w:p>
    <w:p w14:paraId="07D51522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14985BAC" w14:textId="77777777" w:rsidR="001A2D45" w:rsidRPr="00333EB4" w:rsidRDefault="00000000" w:rsidP="00333EB4">
      <w:pPr>
        <w:spacing w:before="280" w:line="360" w:lineRule="auto"/>
        <w:jc w:val="center"/>
        <w:rPr>
          <w:rFonts w:ascii="Times New Roman" w:eastAsia="Times New Roman" w:hAnsi="Times New Roman" w:cs="Times New Roman"/>
          <w:b/>
        </w:rPr>
      </w:pPr>
      <w:commentRangeStart w:id="7"/>
      <w:r w:rsidRPr="00333EB4">
        <w:rPr>
          <w:rFonts w:ascii="Times New Roman" w:eastAsia="Times New Roman" w:hAnsi="Times New Roman" w:cs="Times New Roman"/>
          <w:b/>
        </w:rPr>
        <w:t xml:space="preserve">How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Make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It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Work</w:t>
      </w:r>
      <w:commentRangeEnd w:id="7"/>
      <w:proofErr w:type="spellEnd"/>
      <w:r w:rsidRPr="00333EB4">
        <w:commentReference w:id="7"/>
      </w:r>
    </w:p>
    <w:p w14:paraId="3401904E" w14:textId="77777777" w:rsidR="001A2D45" w:rsidRPr="00333EB4" w:rsidRDefault="00000000" w:rsidP="00333EB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Behavioral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Intention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3B09CA5E" w14:textId="77777777" w:rsidR="001A2D45" w:rsidRPr="00333EB4" w:rsidRDefault="00000000" w:rsidP="00333EB4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  <w:i/>
        </w:rPr>
        <w:t>“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For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next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six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months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, do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you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plan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increase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decrease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or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maintain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your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current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level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hours</w:t>
      </w:r>
      <w:proofErr w:type="spellEnd"/>
      <w:r w:rsidRPr="00333EB4">
        <w:rPr>
          <w:rFonts w:ascii="Times New Roman" w:eastAsia="Times New Roman" w:hAnsi="Times New Roman" w:cs="Times New Roman"/>
          <w:i/>
        </w:rPr>
        <w:t>?”</w:t>
      </w:r>
    </w:p>
    <w:p w14:paraId="01A53D50" w14:textId="77777777" w:rsidR="001A2D45" w:rsidRPr="00333EB4" w:rsidRDefault="00000000" w:rsidP="00333EB4">
      <w:pPr>
        <w:numPr>
          <w:ilvl w:val="1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Captures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future-oriented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a </w:t>
      </w:r>
      <w:proofErr w:type="spellStart"/>
      <w:r w:rsidRPr="00333EB4">
        <w:rPr>
          <w:rFonts w:ascii="Times New Roman" w:eastAsia="Times New Roman" w:hAnsi="Times New Roman" w:cs="Times New Roman"/>
        </w:rPr>
        <w:t>critical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aspect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B2DCC47" w14:textId="77777777" w:rsidR="001A2D45" w:rsidRPr="00333EB4" w:rsidRDefault="00000000" w:rsidP="00333EB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Historical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67028BB2" w14:textId="77777777" w:rsidR="001A2D45" w:rsidRPr="00333EB4" w:rsidRDefault="00000000" w:rsidP="00333EB4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  <w:i/>
        </w:rPr>
        <w:t xml:space="preserve">“How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long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have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you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been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with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  <w:i/>
        </w:rPr>
        <w:t>?”</w:t>
      </w:r>
    </w:p>
    <w:p w14:paraId="67B6110A" w14:textId="77777777" w:rsidR="001A2D45" w:rsidRPr="00333EB4" w:rsidRDefault="00000000" w:rsidP="00333EB4">
      <w:pPr>
        <w:numPr>
          <w:ilvl w:val="1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Reflects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volunteer's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track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record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long-term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dedication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EB8A39E" w14:textId="77777777" w:rsidR="001A2D45" w:rsidRPr="00333EB4" w:rsidRDefault="00000000" w:rsidP="00333EB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Advocacy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1C69CF53" w14:textId="77777777" w:rsidR="001A2D45" w:rsidRPr="00333EB4" w:rsidRDefault="00000000" w:rsidP="00333EB4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  <w:i/>
        </w:rPr>
        <w:t xml:space="preserve">“I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would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encourage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people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with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” (1 =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Disagree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, 5 =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Agree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>)</w:t>
      </w:r>
    </w:p>
    <w:p w14:paraId="22435E59" w14:textId="77777777" w:rsidR="001A2D45" w:rsidRPr="00333EB4" w:rsidRDefault="00000000" w:rsidP="00333EB4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willingness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recommend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organization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which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signals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emotional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D8742D8" w14:textId="77777777" w:rsidR="001A2D45" w:rsidRPr="00333EB4" w:rsidRDefault="00000000" w:rsidP="00333EB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  <w:i/>
        </w:rPr>
        <w:t>“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Have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you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ever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encouraged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someone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else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with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  <w:i/>
        </w:rPr>
        <w:t>?”</w:t>
      </w:r>
    </w:p>
    <w:p w14:paraId="191C0906" w14:textId="77777777" w:rsidR="001A2D45" w:rsidRPr="00333EB4" w:rsidRDefault="00000000" w:rsidP="00333EB4">
      <w:pPr>
        <w:numPr>
          <w:ilvl w:val="1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Directly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assesses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past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advocacy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behavior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adding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weight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advocacy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dimension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392F9A1" w14:textId="77777777" w:rsidR="001A2D45" w:rsidRPr="00333EB4" w:rsidRDefault="001A2D45" w:rsidP="00333EB4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b/>
        </w:rPr>
      </w:pPr>
    </w:p>
    <w:p w14:paraId="187F7626" w14:textId="77777777" w:rsidR="001A2D45" w:rsidRPr="00333EB4" w:rsidRDefault="00000000" w:rsidP="00333EB4">
      <w:pPr>
        <w:pStyle w:val="Heading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" w:name="_5l9a52bnn5tm" w:colFirst="0" w:colLast="0"/>
      <w:bookmarkEnd w:id="8"/>
      <w:proofErr w:type="spellStart"/>
      <w:r w:rsidRPr="00333EB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Calculating</w:t>
      </w:r>
      <w:proofErr w:type="spellEnd"/>
      <w:r w:rsidRPr="00333EB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Composite</w:t>
      </w:r>
      <w:proofErr w:type="spellEnd"/>
      <w:r w:rsidRPr="00333EB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Score</w:t>
      </w:r>
      <w:proofErr w:type="spellEnd"/>
    </w:p>
    <w:p w14:paraId="6CE44F6B" w14:textId="77777777" w:rsidR="001A2D45" w:rsidRPr="00333EB4" w:rsidRDefault="00000000" w:rsidP="00333EB4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Add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scores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from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create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total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score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0DC79DE1" w14:textId="77777777" w:rsidR="001A2D45" w:rsidRPr="00333EB4" w:rsidRDefault="001A2D45" w:rsidP="00333EB4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</w:p>
    <w:p w14:paraId="3E008AB1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35D58CDB" w14:textId="77777777" w:rsidR="001A2D45" w:rsidRPr="00333EB4" w:rsidRDefault="001A2D45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C897E41" w14:textId="77777777" w:rsidR="001A2D45" w:rsidRPr="00333EB4" w:rsidRDefault="001A2D45" w:rsidP="00333EB4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27B2714D" w14:textId="77777777" w:rsidR="00333EB4" w:rsidRDefault="00333E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21BD7582" w14:textId="60D6B389" w:rsidR="001A2D45" w:rsidRPr="00333EB4" w:rsidRDefault="00000000" w:rsidP="00333EB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lastRenderedPageBreak/>
        <w:t>References</w:t>
      </w:r>
      <w:proofErr w:type="spellEnd"/>
    </w:p>
    <w:p w14:paraId="7C51B34C" w14:textId="77777777" w:rsidR="001A2D45" w:rsidRPr="00333EB4" w:rsidRDefault="001A2D45" w:rsidP="00333EB4">
      <w:pPr>
        <w:spacing w:line="360" w:lineRule="auto"/>
        <w:rPr>
          <w:b/>
        </w:rPr>
      </w:pPr>
    </w:p>
    <w:p w14:paraId="655857DA" w14:textId="77777777" w:rsidR="001A2D45" w:rsidRPr="00333EB4" w:rsidRDefault="00000000" w:rsidP="00333EB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color w:val="1155CC"/>
          <w:u w:val="single"/>
        </w:rPr>
      </w:pP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Cañas‐Lerma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A. J.,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Campos‐Vidal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J. F., &amp;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Verger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>, S. (2022). “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Our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focus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is on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illness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loneliness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”: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work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compassion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compassion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fatigue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>, self‐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care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Health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 &amp;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Care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Community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</w:t>
      </w:r>
      <w:r w:rsidRPr="00333EB4">
        <w:rPr>
          <w:rFonts w:ascii="Times New Roman" w:eastAsia="Times New Roman" w:hAnsi="Times New Roman" w:cs="Times New Roman"/>
          <w:i/>
          <w:color w:val="222222"/>
        </w:rPr>
        <w:t>30</w:t>
      </w:r>
      <w:r w:rsidRPr="00333EB4">
        <w:rPr>
          <w:rFonts w:ascii="Times New Roman" w:eastAsia="Times New Roman" w:hAnsi="Times New Roman" w:cs="Times New Roman"/>
          <w:color w:val="222222"/>
        </w:rPr>
        <w:t xml:space="preserve">(6), e6631-e6644. </w:t>
      </w:r>
      <w:r w:rsidRPr="00333EB4">
        <w:rPr>
          <w:rFonts w:ascii="Times New Roman" w:eastAsia="Times New Roman" w:hAnsi="Times New Roman" w:cs="Times New Roman"/>
          <w:color w:val="1155CC"/>
          <w:u w:val="single"/>
        </w:rPr>
        <w:t>https://doi.org/10.1111/hsc.13934</w:t>
      </w:r>
    </w:p>
    <w:p w14:paraId="092F3FF5" w14:textId="77777777" w:rsidR="001A2D45" w:rsidRPr="00333EB4" w:rsidRDefault="001A2D45" w:rsidP="00333EB4">
      <w:pPr>
        <w:spacing w:line="360" w:lineRule="auto"/>
        <w:ind w:left="283"/>
        <w:jc w:val="both"/>
        <w:rPr>
          <w:color w:val="222222"/>
          <w:sz w:val="20"/>
          <w:szCs w:val="20"/>
        </w:rPr>
      </w:pPr>
    </w:p>
    <w:p w14:paraId="74B553D8" w14:textId="77777777" w:rsidR="001A2D45" w:rsidRPr="00333EB4" w:rsidRDefault="00000000" w:rsidP="00333EB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color w:val="1155CC"/>
          <w:u w:val="single"/>
        </w:rPr>
      </w:pP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Clary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E. G.,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Snyder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M.,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Ridge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R. D.,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Copeland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J.,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Stukas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A. A.,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Haugen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J., &amp;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Meine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P. (1998).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assessing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: A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functional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approach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Journal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Personality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Psychology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74, 1516-1530. </w:t>
      </w:r>
      <w:hyperlink r:id="rId21">
        <w:r w:rsidRPr="00333EB4">
          <w:rPr>
            <w:rFonts w:ascii="Times New Roman" w:eastAsia="Times New Roman" w:hAnsi="Times New Roman" w:cs="Times New Roman"/>
            <w:color w:val="1155CC"/>
            <w:u w:val="single"/>
          </w:rPr>
          <w:t>https://doi.org/10.1037/0022-3514.74.6.1516</w:t>
        </w:r>
      </w:hyperlink>
    </w:p>
    <w:p w14:paraId="6B5E8E5C" w14:textId="77777777" w:rsidR="001A2D45" w:rsidRPr="00333EB4" w:rsidRDefault="001A2D45" w:rsidP="00333EB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color w:val="1155CC"/>
          <w:u w:val="single"/>
        </w:rPr>
      </w:pPr>
    </w:p>
    <w:p w14:paraId="25885A3B" w14:textId="77777777" w:rsidR="001A2D45" w:rsidRPr="00333EB4" w:rsidRDefault="00000000" w:rsidP="00333EB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color w:val="1155CC"/>
          <w:u w:val="single"/>
        </w:rPr>
      </w:pP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Martins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C., da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Silva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J. T., de Jesus, S. N.,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Ribeiro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C.,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Estêvão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M. D.,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Baptista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R., ... &amp;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Nunes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C. (2024).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Functions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Inventory (VFI): Adaptation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Psychometric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Properties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among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Portuguese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color w:val="222222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European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Journal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Investigation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Health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Psychology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i/>
          <w:color w:val="222222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22222"/>
        </w:rPr>
        <w:t>Education</w:t>
      </w:r>
      <w:proofErr w:type="spellEnd"/>
      <w:r w:rsidRPr="00333EB4">
        <w:rPr>
          <w:rFonts w:ascii="Times New Roman" w:eastAsia="Times New Roman" w:hAnsi="Times New Roman" w:cs="Times New Roman"/>
          <w:color w:val="222222"/>
        </w:rPr>
        <w:t xml:space="preserve">, </w:t>
      </w:r>
      <w:r w:rsidRPr="00333EB4">
        <w:rPr>
          <w:rFonts w:ascii="Times New Roman" w:eastAsia="Times New Roman" w:hAnsi="Times New Roman" w:cs="Times New Roman"/>
          <w:i/>
          <w:color w:val="222222"/>
        </w:rPr>
        <w:t>14</w:t>
      </w:r>
      <w:r w:rsidRPr="00333EB4">
        <w:rPr>
          <w:rFonts w:ascii="Times New Roman" w:eastAsia="Times New Roman" w:hAnsi="Times New Roman" w:cs="Times New Roman"/>
          <w:color w:val="222222"/>
        </w:rPr>
        <w:t xml:space="preserve">(4), 823-837. </w:t>
      </w:r>
      <w:r w:rsidRPr="00333EB4">
        <w:rPr>
          <w:rFonts w:ascii="Times New Roman" w:eastAsia="Times New Roman" w:hAnsi="Times New Roman" w:cs="Times New Roman"/>
          <w:color w:val="1155CC"/>
          <w:u w:val="single"/>
        </w:rPr>
        <w:t xml:space="preserve">https://doi.org/10.3390/ ejihpe14040053 </w:t>
      </w:r>
      <w:proofErr w:type="spellStart"/>
      <w:r w:rsidRPr="00333EB4">
        <w:rPr>
          <w:rFonts w:ascii="Times New Roman" w:eastAsia="Times New Roman" w:hAnsi="Times New Roman" w:cs="Times New Roman"/>
          <w:color w:val="1155CC"/>
          <w:u w:val="single"/>
        </w:rPr>
        <w:t>Academic</w:t>
      </w:r>
      <w:proofErr w:type="spellEnd"/>
      <w:r w:rsidRPr="00333EB4">
        <w:rPr>
          <w:rFonts w:ascii="Times New Roman" w:eastAsia="Times New Roman" w:hAnsi="Times New Roman" w:cs="Times New Roman"/>
          <w:color w:val="1155CC"/>
          <w:u w:val="single"/>
        </w:rPr>
        <w:t xml:space="preserve"> Editor: </w:t>
      </w:r>
      <w:proofErr w:type="spellStart"/>
      <w:r w:rsidRPr="00333EB4">
        <w:rPr>
          <w:rFonts w:ascii="Times New Roman" w:eastAsia="Times New Roman" w:hAnsi="Times New Roman" w:cs="Times New Roman"/>
          <w:color w:val="1155CC"/>
          <w:u w:val="single"/>
        </w:rPr>
        <w:t>Inmaculada</w:t>
      </w:r>
      <w:proofErr w:type="spellEnd"/>
      <w:r w:rsidRPr="00333EB4"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1155CC"/>
          <w:u w:val="single"/>
        </w:rPr>
        <w:t>Méndez</w:t>
      </w:r>
      <w:proofErr w:type="spellEnd"/>
      <w:r w:rsidRPr="00333EB4"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1155CC"/>
          <w:u w:val="single"/>
        </w:rPr>
        <w:t>Mateo</w:t>
      </w:r>
      <w:proofErr w:type="spellEnd"/>
      <w:r w:rsidRPr="00333EB4"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</w:p>
    <w:p w14:paraId="7AFA582E" w14:textId="77777777" w:rsidR="001A2D45" w:rsidRPr="00333EB4" w:rsidRDefault="001A2D45" w:rsidP="00333EB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color w:val="1155CC"/>
          <w:u w:val="single"/>
        </w:rPr>
      </w:pPr>
    </w:p>
    <w:p w14:paraId="7115D93D" w14:textId="77777777" w:rsidR="001A2D45" w:rsidRPr="00333EB4" w:rsidRDefault="00000000" w:rsidP="00333EB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color w:val="1155CC"/>
          <w:u w:val="single"/>
        </w:rPr>
      </w:pP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Vecina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Jiménez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, M. L.,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Chacón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Fuertes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, F., &amp;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Sueiro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Abad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, M. J. (2009).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Satisfacción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en el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voluntariado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estructura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interna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y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relación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con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la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permanencia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en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las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organizaciones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[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Internal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structure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with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permanence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  <w:color w:val="212121"/>
        </w:rPr>
        <w:t>organizations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]. </w:t>
      </w:r>
      <w:proofErr w:type="spellStart"/>
      <w:r w:rsidRPr="00333EB4">
        <w:rPr>
          <w:rFonts w:ascii="Times New Roman" w:eastAsia="Times New Roman" w:hAnsi="Times New Roman" w:cs="Times New Roman"/>
          <w:i/>
          <w:color w:val="212121"/>
        </w:rPr>
        <w:t>Psicothema</w:t>
      </w:r>
      <w:proofErr w:type="spellEnd"/>
      <w:r w:rsidRPr="00333EB4">
        <w:rPr>
          <w:rFonts w:ascii="Times New Roman" w:eastAsia="Times New Roman" w:hAnsi="Times New Roman" w:cs="Times New Roman"/>
          <w:color w:val="212121"/>
        </w:rPr>
        <w:t xml:space="preserve">, </w:t>
      </w:r>
      <w:r w:rsidRPr="00333EB4">
        <w:rPr>
          <w:rFonts w:ascii="Times New Roman" w:eastAsia="Times New Roman" w:hAnsi="Times New Roman" w:cs="Times New Roman"/>
          <w:i/>
          <w:color w:val="212121"/>
        </w:rPr>
        <w:t>21</w:t>
      </w:r>
      <w:r w:rsidRPr="00333EB4">
        <w:rPr>
          <w:rFonts w:ascii="Times New Roman" w:eastAsia="Times New Roman" w:hAnsi="Times New Roman" w:cs="Times New Roman"/>
          <w:color w:val="212121"/>
        </w:rPr>
        <w:t>(1), 112–117.</w:t>
      </w:r>
    </w:p>
    <w:p w14:paraId="6E3BF504" w14:textId="77777777" w:rsidR="001A2D45" w:rsidRPr="00333EB4" w:rsidRDefault="001A2D45" w:rsidP="00333EB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color w:val="0D0D0D"/>
        </w:rPr>
      </w:pPr>
    </w:p>
    <w:p w14:paraId="0D337E09" w14:textId="77777777" w:rsidR="001A2D45" w:rsidRPr="00333EB4" w:rsidRDefault="00000000" w:rsidP="00333EB4">
      <w:pPr>
        <w:spacing w:line="360" w:lineRule="auto"/>
        <w:ind w:left="283"/>
        <w:jc w:val="both"/>
        <w:rPr>
          <w:color w:val="222222"/>
          <w:sz w:val="20"/>
          <w:szCs w:val="20"/>
        </w:rPr>
      </w:pP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Vecina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, M. L.,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Chacón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, F.,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Sueiro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, M., &amp;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Barrón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, A. (2012).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Does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predict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degree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among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new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the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those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who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have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been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active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color w:val="0D0D0D"/>
        </w:rPr>
        <w:t>longer</w:t>
      </w:r>
      <w:proofErr w:type="spellEnd"/>
      <w:r w:rsidRPr="00333EB4">
        <w:rPr>
          <w:rFonts w:ascii="Times New Roman" w:eastAsia="Times New Roman" w:hAnsi="Times New Roman" w:cs="Times New Roman"/>
          <w:color w:val="0D0D0D"/>
        </w:rPr>
        <w:t xml:space="preserve">? </w:t>
      </w:r>
      <w:proofErr w:type="spellStart"/>
      <w:r w:rsidRPr="00333EB4">
        <w:rPr>
          <w:rFonts w:ascii="Times New Roman" w:eastAsia="Times New Roman" w:hAnsi="Times New Roman" w:cs="Times New Roman"/>
          <w:i/>
          <w:color w:val="0D0D0D"/>
        </w:rPr>
        <w:t>Applied</w:t>
      </w:r>
      <w:proofErr w:type="spellEnd"/>
      <w:r w:rsidRPr="00333EB4">
        <w:rPr>
          <w:rFonts w:ascii="Times New Roman" w:eastAsia="Times New Roman" w:hAnsi="Times New Roman" w:cs="Times New Roman"/>
          <w:i/>
          <w:color w:val="0D0D0D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  <w:color w:val="0D0D0D"/>
        </w:rPr>
        <w:t>Psychology</w:t>
      </w:r>
      <w:proofErr w:type="spellEnd"/>
      <w:r w:rsidRPr="00333EB4">
        <w:rPr>
          <w:rFonts w:ascii="Times New Roman" w:eastAsia="Times New Roman" w:hAnsi="Times New Roman" w:cs="Times New Roman"/>
          <w:i/>
          <w:color w:val="0D0D0D"/>
        </w:rPr>
        <w:t>, 61</w:t>
      </w:r>
      <w:r w:rsidRPr="00333EB4">
        <w:rPr>
          <w:rFonts w:ascii="Times New Roman" w:eastAsia="Times New Roman" w:hAnsi="Times New Roman" w:cs="Times New Roman"/>
          <w:color w:val="0D0D0D"/>
        </w:rPr>
        <w:t xml:space="preserve">(1), 130-148. </w:t>
      </w:r>
      <w:hyperlink r:id="rId22">
        <w:r w:rsidRPr="00333EB4">
          <w:rPr>
            <w:rFonts w:ascii="Times New Roman" w:eastAsia="Times New Roman" w:hAnsi="Times New Roman" w:cs="Times New Roman"/>
            <w:color w:val="1155CC"/>
            <w:u w:val="single"/>
          </w:rPr>
          <w:t>https://doi.org/10.1111/j.1464-0597.2011.00460.x</w:t>
        </w:r>
      </w:hyperlink>
    </w:p>
    <w:p w14:paraId="0B76E22F" w14:textId="77777777" w:rsidR="001A2D45" w:rsidRPr="00333EB4" w:rsidRDefault="001A2D45" w:rsidP="00333EB4">
      <w:pPr>
        <w:spacing w:line="360" w:lineRule="auto"/>
        <w:rPr>
          <w:color w:val="222222"/>
          <w:sz w:val="20"/>
          <w:szCs w:val="20"/>
        </w:rPr>
      </w:pPr>
    </w:p>
    <w:p w14:paraId="6ACFE06A" w14:textId="77777777" w:rsidR="001A2D45" w:rsidRPr="00333EB4" w:rsidRDefault="00000000" w:rsidP="00333EB4">
      <w:pPr>
        <w:spacing w:line="360" w:lineRule="auto"/>
        <w:ind w:left="283"/>
        <w:jc w:val="both"/>
        <w:rPr>
          <w:color w:val="222222"/>
          <w:sz w:val="20"/>
          <w:szCs w:val="20"/>
        </w:rPr>
      </w:pPr>
      <w:r w:rsidRPr="00333EB4">
        <w:rPr>
          <w:rFonts w:ascii="Times New Roman" w:eastAsia="Times New Roman" w:hAnsi="Times New Roman" w:cs="Times New Roman"/>
        </w:rPr>
        <w:t xml:space="preserve">Zhou, S., &amp; </w:t>
      </w:r>
      <w:proofErr w:type="spellStart"/>
      <w:r w:rsidRPr="00333EB4">
        <w:rPr>
          <w:rFonts w:ascii="Times New Roman" w:eastAsia="Times New Roman" w:hAnsi="Times New Roman" w:cs="Times New Roman"/>
        </w:rPr>
        <w:t>Kodama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Muscente</w:t>
      </w:r>
      <w:proofErr w:type="spellEnd"/>
      <w:r w:rsidRPr="00333EB4">
        <w:rPr>
          <w:rFonts w:ascii="Times New Roman" w:eastAsia="Times New Roman" w:hAnsi="Times New Roman" w:cs="Times New Roman"/>
        </w:rPr>
        <w:t>, K. (2022). Meta-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Functions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Inventory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behavior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Nonprofit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Voluntary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Sector</w:t>
      </w:r>
      <w:proofErr w:type="spellEnd"/>
      <w:r w:rsidRPr="00333EB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i/>
        </w:rPr>
        <w:t>Quarterly</w:t>
      </w:r>
      <w:proofErr w:type="spellEnd"/>
      <w:r w:rsidRPr="00333EB4">
        <w:rPr>
          <w:rFonts w:ascii="Times New Roman" w:eastAsia="Times New Roman" w:hAnsi="Times New Roman" w:cs="Times New Roman"/>
          <w:i/>
        </w:rPr>
        <w:t>, 52</w:t>
      </w:r>
      <w:r w:rsidRPr="00333EB4">
        <w:rPr>
          <w:rFonts w:ascii="Times New Roman" w:eastAsia="Times New Roman" w:hAnsi="Times New Roman" w:cs="Times New Roman"/>
        </w:rPr>
        <w:t>(5), 1331-1356.</w:t>
      </w:r>
      <w:hyperlink r:id="rId23">
        <w:r w:rsidRPr="00333EB4">
          <w:rPr>
            <w:rFonts w:ascii="Times New Roman" w:eastAsia="Times New Roman" w:hAnsi="Times New Roman" w:cs="Times New Roman"/>
          </w:rPr>
          <w:t xml:space="preserve"> </w:t>
        </w:r>
      </w:hyperlink>
      <w:hyperlink r:id="rId24">
        <w:r w:rsidRPr="00333EB4">
          <w:rPr>
            <w:rFonts w:ascii="Times New Roman" w:eastAsia="Times New Roman" w:hAnsi="Times New Roman" w:cs="Times New Roman"/>
            <w:color w:val="1155CC"/>
            <w:u w:val="single"/>
          </w:rPr>
          <w:t>https://doi.org/10.1177/08997640221129540</w:t>
        </w:r>
      </w:hyperlink>
    </w:p>
    <w:sectPr w:rsidR="001A2D45" w:rsidRPr="00333E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E. Özüm Kuş Işık" w:date="2024-12-06T19:16:00Z" w:initials="">
    <w:p w14:paraId="3C4BEA20" w14:textId="77777777" w:rsidR="001A2D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Bu kısım da gptnin önerileri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4BEA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4BEA20" w16cid:durableId="21909B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171"/>
    <w:multiLevelType w:val="multilevel"/>
    <w:tmpl w:val="10968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F5C1B"/>
    <w:multiLevelType w:val="multilevel"/>
    <w:tmpl w:val="A3600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E3C72"/>
    <w:multiLevelType w:val="multilevel"/>
    <w:tmpl w:val="4A46D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F5A9B"/>
    <w:multiLevelType w:val="hybridMultilevel"/>
    <w:tmpl w:val="6E8C5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0D544A"/>
    <w:multiLevelType w:val="multilevel"/>
    <w:tmpl w:val="AF5E3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D01D05"/>
    <w:multiLevelType w:val="multilevel"/>
    <w:tmpl w:val="F0EA08A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62343B6A"/>
    <w:multiLevelType w:val="hybridMultilevel"/>
    <w:tmpl w:val="7C22A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18770">
    <w:abstractNumId w:val="1"/>
  </w:num>
  <w:num w:numId="2" w16cid:durableId="1046216794">
    <w:abstractNumId w:val="5"/>
  </w:num>
  <w:num w:numId="3" w16cid:durableId="732199081">
    <w:abstractNumId w:val="2"/>
  </w:num>
  <w:num w:numId="4" w16cid:durableId="1354109691">
    <w:abstractNumId w:val="0"/>
  </w:num>
  <w:num w:numId="5" w16cid:durableId="1385715507">
    <w:abstractNumId w:val="4"/>
  </w:num>
  <w:num w:numId="6" w16cid:durableId="1878733018">
    <w:abstractNumId w:val="6"/>
  </w:num>
  <w:num w:numId="7" w16cid:durableId="166154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45"/>
    <w:rsid w:val="001A2D45"/>
    <w:rsid w:val="00333EB4"/>
    <w:rsid w:val="00513FBE"/>
    <w:rsid w:val="00784658"/>
    <w:rsid w:val="00BE2DD4"/>
    <w:rsid w:val="00D52F92"/>
    <w:rsid w:val="00D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2EC0"/>
  <w15:docId w15:val="{69901E27-3E5C-5B4D-85C7-AA6BDFDD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5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1037/0022-3514.74.6.1516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i.org/10.1177/0899764022112954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i.org/10.1177/08997640221129540" TargetMode="External"/><Relationship Id="rId10" Type="http://schemas.openxmlformats.org/officeDocument/2006/relationships/image" Target="media/image6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i.org/10.1111/j.1464-0597.2011.00460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Guray</cp:lastModifiedBy>
  <cp:revision>2</cp:revision>
  <dcterms:created xsi:type="dcterms:W3CDTF">2024-12-09T11:33:00Z</dcterms:created>
  <dcterms:modified xsi:type="dcterms:W3CDTF">2024-12-09T13:21:00Z</dcterms:modified>
</cp:coreProperties>
</file>