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B968F0" w14:textId="671AC67D" w:rsidR="000B4DD2" w:rsidRDefault="000B4DD2" w:rsidP="008E202B">
      <w:pPr>
        <w:spacing w:line="240" w:lineRule="auto"/>
      </w:pPr>
      <w:r>
        <w:t>Ridhwan Ibrahim</w:t>
      </w:r>
    </w:p>
    <w:p w14:paraId="5B663CB3" w14:textId="143D86D0" w:rsidR="000B4DD2" w:rsidRPr="000B4DD2" w:rsidRDefault="0025456C" w:rsidP="008E202B">
      <w:pPr>
        <w:spacing w:line="240" w:lineRule="auto"/>
      </w:pPr>
      <w:r>
        <w:t xml:space="preserve">Nov 9, </w:t>
      </w:r>
      <w:r w:rsidR="000B4DD2">
        <w:t>2025</w:t>
      </w:r>
    </w:p>
    <w:p w14:paraId="3D161431" w14:textId="0D98A21A" w:rsidR="000B4DD2" w:rsidRPr="0035485E" w:rsidRDefault="000B4DD2" w:rsidP="000B4DD2">
      <w:pPr>
        <w:rPr>
          <w:i/>
          <w:iCs/>
        </w:rPr>
      </w:pPr>
      <w:r w:rsidRPr="00EC2D3B">
        <w:rPr>
          <w:i/>
          <w:iCs/>
        </w:rPr>
        <w:t xml:space="preserve">Notes on </w:t>
      </w:r>
      <w:r>
        <w:rPr>
          <w:i/>
          <w:iCs/>
        </w:rPr>
        <w:t>Fully</w:t>
      </w:r>
      <w:r w:rsidRPr="00EC2D3B">
        <w:rPr>
          <w:i/>
          <w:iCs/>
        </w:rPr>
        <w:t xml:space="preserve"> Qualified Table Names (FQTNs) as they apply to relational database design and governance. </w:t>
      </w:r>
    </w:p>
    <w:p w14:paraId="58088B50" w14:textId="28A0D4F2" w:rsidR="000B4DD2" w:rsidRPr="008718BB" w:rsidRDefault="000B4DD2" w:rsidP="000B4DD2">
      <w:pPr>
        <w:rPr>
          <w:b/>
          <w:bCs/>
        </w:rPr>
      </w:pPr>
      <w:r w:rsidRPr="008718BB">
        <w:rPr>
          <w:b/>
          <w:bCs/>
        </w:rPr>
        <w:t>Fully Qualified Table Names (FQTNs)</w:t>
      </w:r>
    </w:p>
    <w:p w14:paraId="5AD55C92" w14:textId="77777777" w:rsidR="000B4DD2" w:rsidRDefault="000B4DD2" w:rsidP="000B4DD2">
      <w:r>
        <w:t xml:space="preserve">Fully Qualified Table Name is the complete path to a table in the database. Every table </w:t>
      </w:r>
      <w:proofErr w:type="gramStart"/>
      <w:r>
        <w:t>lives</w:t>
      </w:r>
      <w:proofErr w:type="gramEnd"/>
      <w:r>
        <w:t xml:space="preserve"> inside a hierarchy which contains schemas and tables. Using an FQTN is useful because different schemas of a database may contain the same table name, so it becomes important to define which specific table we are talking about. The format looks something like: </w:t>
      </w:r>
    </w:p>
    <w:p w14:paraId="464D2514" w14:textId="36140AC6" w:rsidR="000B4DD2" w:rsidRPr="00FD70D5" w:rsidRDefault="000B4DD2" w:rsidP="000B4DD2">
      <w:pPr>
        <w:rPr>
          <w:rFonts w:ascii="Consolas" w:hAnsi="Consolas"/>
        </w:rPr>
      </w:pPr>
      <w:r w:rsidRPr="0035485E">
        <w:rPr>
          <w:rFonts w:ascii="Consolas" w:hAnsi="Consolas"/>
        </w:rPr>
        <w:t>[</w:t>
      </w:r>
      <w:proofErr w:type="spellStart"/>
      <w:r w:rsidRPr="0035485E">
        <w:rPr>
          <w:rFonts w:ascii="Consolas" w:hAnsi="Consolas"/>
        </w:rPr>
        <w:t>DatabaseName</w:t>
      </w:r>
      <w:proofErr w:type="spellEnd"/>
      <w:proofErr w:type="gramStart"/>
      <w:r w:rsidRPr="0035485E">
        <w:rPr>
          <w:rFonts w:ascii="Consolas" w:hAnsi="Consolas"/>
        </w:rPr>
        <w:t>].[</w:t>
      </w:r>
      <w:proofErr w:type="spellStart"/>
      <w:proofErr w:type="gramEnd"/>
      <w:r w:rsidRPr="0035485E">
        <w:rPr>
          <w:rFonts w:ascii="Consolas" w:hAnsi="Consolas"/>
        </w:rPr>
        <w:t>SchemaName</w:t>
      </w:r>
      <w:proofErr w:type="spellEnd"/>
      <w:proofErr w:type="gramStart"/>
      <w:r w:rsidRPr="0035485E">
        <w:rPr>
          <w:rFonts w:ascii="Consolas" w:hAnsi="Consolas"/>
        </w:rPr>
        <w:t>].[</w:t>
      </w:r>
      <w:proofErr w:type="spellStart"/>
      <w:proofErr w:type="gramEnd"/>
      <w:r w:rsidRPr="0035485E">
        <w:rPr>
          <w:rFonts w:ascii="Consolas" w:hAnsi="Consolas"/>
        </w:rPr>
        <w:t>TableName</w:t>
      </w:r>
      <w:proofErr w:type="spellEnd"/>
      <w:r w:rsidRPr="0035485E">
        <w:rPr>
          <w:rFonts w:ascii="Consolas" w:hAnsi="Consolas"/>
        </w:rPr>
        <w:t>]</w:t>
      </w:r>
      <w:r w:rsidRPr="00FD70D5">
        <w:rPr>
          <w:rFonts w:ascii="Consolas" w:hAnsi="Consolas"/>
        </w:rPr>
        <w:t xml:space="preserve"> </w:t>
      </w:r>
    </w:p>
    <w:p w14:paraId="5320EA68" w14:textId="26AEB5F0" w:rsidR="007B5B30" w:rsidRDefault="000B4DD2">
      <w:r>
        <w:t>This allows us to identify</w:t>
      </w:r>
      <w:r w:rsidRPr="000B4DD2">
        <w:t xml:space="preserve"> exactly</w:t>
      </w:r>
      <w:r>
        <w:rPr>
          <w:i/>
          <w:iCs/>
        </w:rPr>
        <w:t xml:space="preserve"> </w:t>
      </w:r>
      <w:r>
        <w:t>where that table lives,</w:t>
      </w:r>
      <w:r w:rsidR="007B5B30">
        <w:t xml:space="preserve"> </w:t>
      </w:r>
      <w:r>
        <w:t>which database, and which schema</w:t>
      </w:r>
      <w:r w:rsidR="007B5B30">
        <w:t xml:space="preserve"> etc. An analogy would be that an FQTN is like</w:t>
      </w:r>
      <w:r>
        <w:t xml:space="preserve"> an address to the precise table. </w:t>
      </w:r>
      <w:r>
        <w:t xml:space="preserve">As an organization grows, they may add multiple types of database platforms such as SQL Server, Oracle, PostgreSQL or even cloud-based systems. Scaling across </w:t>
      </w:r>
      <w:r>
        <w:t>such</w:t>
      </w:r>
      <w:r>
        <w:t xml:space="preserve"> heterogenous environments requires the use of FQTNs to be specific </w:t>
      </w:r>
      <w:proofErr w:type="gramStart"/>
      <w:r>
        <w:t>with</w:t>
      </w:r>
      <w:proofErr w:type="gramEnd"/>
      <w:r>
        <w:t xml:space="preserve"> our data. For example, using FQTNs becomes necessary when joining tables</w:t>
      </w:r>
      <w:r>
        <w:t xml:space="preserve"> with the same name</w:t>
      </w:r>
      <w:r>
        <w:t xml:space="preserve"> across different</w:t>
      </w:r>
      <w:r>
        <w:t xml:space="preserve"> schemas or databases. </w:t>
      </w:r>
    </w:p>
    <w:p w14:paraId="1CD9F38B" w14:textId="41B28A14" w:rsidR="007B5B30" w:rsidRDefault="007B5B30">
      <w:r>
        <w:t xml:space="preserve">Another reason to use FQTNs is to maintain referential integrity, specifically when creating tables. If we create tables that are related with a PK/FK relationship, the </w:t>
      </w:r>
      <w:r w:rsidR="0035485E">
        <w:t xml:space="preserve">foreign </w:t>
      </w:r>
      <w:r>
        <w:t xml:space="preserve">key </w:t>
      </w:r>
      <w:r w:rsidR="0035485E">
        <w:t xml:space="preserve">table </w:t>
      </w:r>
      <w:r>
        <w:t xml:space="preserve">should be defined using an </w:t>
      </w:r>
      <w:proofErr w:type="gramStart"/>
      <w:r>
        <w:t>FQTN</w:t>
      </w:r>
      <w:proofErr w:type="gramEnd"/>
      <w:r>
        <w:t xml:space="preserve"> so the </w:t>
      </w:r>
      <w:r w:rsidR="008E202B">
        <w:t>DB engine</w:t>
      </w:r>
      <w:r>
        <w:t xml:space="preserve"> knows which </w:t>
      </w:r>
      <w:r w:rsidR="008E202B">
        <w:t>specific t</w:t>
      </w:r>
      <w:r>
        <w:t>able</w:t>
      </w:r>
      <w:r w:rsidR="008E202B">
        <w:t xml:space="preserve"> </w:t>
      </w:r>
      <w:r>
        <w:t xml:space="preserve">the relationship refers to. This further prevents ambiguity when multiple schemas or databases contain tables with the same </w:t>
      </w:r>
      <w:proofErr w:type="gramStart"/>
      <w:r>
        <w:t>name</w:t>
      </w:r>
      <w:proofErr w:type="gramEnd"/>
      <w:r>
        <w:t xml:space="preserve"> yet we want to maintain table relationships when adding data</w:t>
      </w:r>
      <w:r w:rsidR="008E202B">
        <w:t xml:space="preserve"> as we scale</w:t>
      </w:r>
      <w:r>
        <w:t>.</w:t>
      </w:r>
    </w:p>
    <w:p w14:paraId="233B2242" w14:textId="3383685D" w:rsidR="0035485E" w:rsidRDefault="000B4DD2">
      <w:r>
        <w:t>Using FQTNs establishes a consistent naming convention across an organization which improves searchability and improves the ability to understand and navigate the database taxonomy. For example, IBMs guidelines emphasize using FQTNs in SQL server to “ensure that objects are named in a consistent manner.”</w:t>
      </w:r>
    </w:p>
    <w:p w14:paraId="6987CC64" w14:textId="5532F5FE" w:rsidR="000B4DD2" w:rsidRDefault="000B4DD2">
      <w:r>
        <w:t xml:space="preserve">Sources </w:t>
      </w:r>
    </w:p>
    <w:p w14:paraId="0417E2AF" w14:textId="3206A729" w:rsidR="005A09CB" w:rsidRDefault="000B4DD2">
      <w:hyperlink r:id="rId4" w:history="1">
        <w:r w:rsidRPr="00085D3C">
          <w:rPr>
            <w:rStyle w:val="Hyperlink"/>
          </w:rPr>
          <w:t>https://www.ibm.com/docs/en/db2-for-zos/12.0.0?topic=tables-guidelines-table-names</w:t>
        </w:r>
      </w:hyperlink>
    </w:p>
    <w:p w14:paraId="7A34C99B" w14:textId="59CC1F0B" w:rsidR="008E202B" w:rsidRDefault="008E202B">
      <w:hyperlink r:id="rId5" w:history="1">
        <w:r w:rsidRPr="00085D3C">
          <w:rPr>
            <w:rStyle w:val="Hyperlink"/>
          </w:rPr>
          <w:t>https://www.ibm.com/docs/en/db2-for-zos/12.0.0?topic=statements-create-tabl</w:t>
        </w:r>
        <w:r w:rsidRPr="00085D3C">
          <w:rPr>
            <w:rStyle w:val="Hyperlink"/>
          </w:rPr>
          <w:t>e</w:t>
        </w:r>
      </w:hyperlink>
    </w:p>
    <w:p w14:paraId="54605D75" w14:textId="0DD509E5" w:rsidR="000B4DD2" w:rsidRDefault="008E202B">
      <w:hyperlink r:id="rId6" w:history="1">
        <w:r w:rsidRPr="00085D3C">
          <w:rPr>
            <w:rStyle w:val="Hyperlink"/>
          </w:rPr>
          <w:t>https://www.tektutorialshub.com/sql-server/fully-qualified-table-names-in-sql-server/</w:t>
        </w:r>
      </w:hyperlink>
    </w:p>
    <w:sectPr w:rsidR="000B4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CB"/>
    <w:rsid w:val="000B4DD2"/>
    <w:rsid w:val="00176A59"/>
    <w:rsid w:val="001A66D4"/>
    <w:rsid w:val="00240CC0"/>
    <w:rsid w:val="0025456C"/>
    <w:rsid w:val="00296757"/>
    <w:rsid w:val="002E0962"/>
    <w:rsid w:val="003047C4"/>
    <w:rsid w:val="0035485E"/>
    <w:rsid w:val="005A09CB"/>
    <w:rsid w:val="006A089B"/>
    <w:rsid w:val="007B5B30"/>
    <w:rsid w:val="008718BB"/>
    <w:rsid w:val="008A7ED0"/>
    <w:rsid w:val="008E202B"/>
    <w:rsid w:val="00B82F11"/>
    <w:rsid w:val="00EC2D3B"/>
    <w:rsid w:val="00F823E8"/>
    <w:rsid w:val="00FD7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14A74"/>
  <w15:chartTrackingRefBased/>
  <w15:docId w15:val="{0B58F115-06DC-4B15-AD3C-EA741F20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DD2"/>
  </w:style>
  <w:style w:type="paragraph" w:styleId="Heading1">
    <w:name w:val="heading 1"/>
    <w:basedOn w:val="Normal"/>
    <w:next w:val="Normal"/>
    <w:link w:val="Heading1Char"/>
    <w:uiPriority w:val="9"/>
    <w:qFormat/>
    <w:rsid w:val="005A09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09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09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09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09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09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09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09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09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09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09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09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09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09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09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09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09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09CB"/>
    <w:rPr>
      <w:rFonts w:eastAsiaTheme="majorEastAsia" w:cstheme="majorBidi"/>
      <w:color w:val="272727" w:themeColor="text1" w:themeTint="D8"/>
    </w:rPr>
  </w:style>
  <w:style w:type="paragraph" w:styleId="Title">
    <w:name w:val="Title"/>
    <w:basedOn w:val="Normal"/>
    <w:next w:val="Normal"/>
    <w:link w:val="TitleChar"/>
    <w:uiPriority w:val="10"/>
    <w:qFormat/>
    <w:rsid w:val="005A09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09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09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09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09CB"/>
    <w:pPr>
      <w:spacing w:before="160"/>
      <w:jc w:val="center"/>
    </w:pPr>
    <w:rPr>
      <w:i/>
      <w:iCs/>
      <w:color w:val="404040" w:themeColor="text1" w:themeTint="BF"/>
    </w:rPr>
  </w:style>
  <w:style w:type="character" w:customStyle="1" w:styleId="QuoteChar">
    <w:name w:val="Quote Char"/>
    <w:basedOn w:val="DefaultParagraphFont"/>
    <w:link w:val="Quote"/>
    <w:uiPriority w:val="29"/>
    <w:rsid w:val="005A09CB"/>
    <w:rPr>
      <w:i/>
      <w:iCs/>
      <w:color w:val="404040" w:themeColor="text1" w:themeTint="BF"/>
    </w:rPr>
  </w:style>
  <w:style w:type="paragraph" w:styleId="ListParagraph">
    <w:name w:val="List Paragraph"/>
    <w:basedOn w:val="Normal"/>
    <w:uiPriority w:val="34"/>
    <w:qFormat/>
    <w:rsid w:val="005A09CB"/>
    <w:pPr>
      <w:ind w:left="720"/>
      <w:contextualSpacing/>
    </w:pPr>
  </w:style>
  <w:style w:type="character" w:styleId="IntenseEmphasis">
    <w:name w:val="Intense Emphasis"/>
    <w:basedOn w:val="DefaultParagraphFont"/>
    <w:uiPriority w:val="21"/>
    <w:qFormat/>
    <w:rsid w:val="005A09CB"/>
    <w:rPr>
      <w:i/>
      <w:iCs/>
      <w:color w:val="0F4761" w:themeColor="accent1" w:themeShade="BF"/>
    </w:rPr>
  </w:style>
  <w:style w:type="paragraph" w:styleId="IntenseQuote">
    <w:name w:val="Intense Quote"/>
    <w:basedOn w:val="Normal"/>
    <w:next w:val="Normal"/>
    <w:link w:val="IntenseQuoteChar"/>
    <w:uiPriority w:val="30"/>
    <w:qFormat/>
    <w:rsid w:val="005A09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09CB"/>
    <w:rPr>
      <w:i/>
      <w:iCs/>
      <w:color w:val="0F4761" w:themeColor="accent1" w:themeShade="BF"/>
    </w:rPr>
  </w:style>
  <w:style w:type="character" w:styleId="IntenseReference">
    <w:name w:val="Intense Reference"/>
    <w:basedOn w:val="DefaultParagraphFont"/>
    <w:uiPriority w:val="32"/>
    <w:qFormat/>
    <w:rsid w:val="005A09CB"/>
    <w:rPr>
      <w:b/>
      <w:bCs/>
      <w:smallCaps/>
      <w:color w:val="0F4761" w:themeColor="accent1" w:themeShade="BF"/>
      <w:spacing w:val="5"/>
    </w:rPr>
  </w:style>
  <w:style w:type="character" w:styleId="Hyperlink">
    <w:name w:val="Hyperlink"/>
    <w:basedOn w:val="DefaultParagraphFont"/>
    <w:uiPriority w:val="99"/>
    <w:unhideWhenUsed/>
    <w:rsid w:val="000B4DD2"/>
    <w:rPr>
      <w:color w:val="467886" w:themeColor="hyperlink"/>
      <w:u w:val="single"/>
    </w:rPr>
  </w:style>
  <w:style w:type="character" w:styleId="UnresolvedMention">
    <w:name w:val="Unresolved Mention"/>
    <w:basedOn w:val="DefaultParagraphFont"/>
    <w:uiPriority w:val="99"/>
    <w:semiHidden/>
    <w:unhideWhenUsed/>
    <w:rsid w:val="000B4D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ktutorialshub.com/sql-server/fully-qualified-table-names-in-sql-server/" TargetMode="External"/><Relationship Id="rId5" Type="http://schemas.openxmlformats.org/officeDocument/2006/relationships/hyperlink" Target="https://www.ibm.com/docs/en/db2-for-zos/12.0.0?topic=statements-create-table" TargetMode="External"/><Relationship Id="rId4" Type="http://schemas.openxmlformats.org/officeDocument/2006/relationships/hyperlink" Target="https://www.ibm.com/docs/en/db2-for-zos/12.0.0?topic=tables-guidelines-table-na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1228</TotalTime>
  <Pages>1</Pages>
  <Words>361</Words>
  <Characters>2060</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Ridhwan Ibrahim</dc:creator>
  <cp:keywords/>
  <dc:description/>
  <cp:lastModifiedBy>Ridhwan Ibrahim</cp:lastModifiedBy>
  <cp:revision>2</cp:revision>
  <dcterms:created xsi:type="dcterms:W3CDTF">2025-11-09T06:44:00Z</dcterms:created>
  <dcterms:modified xsi:type="dcterms:W3CDTF">2025-11-10T03:12:00Z</dcterms:modified>
</cp:coreProperties>
</file>