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B4F72"/>
          <w:sz w:val="64"/>
          <w:szCs w:val="64"/>
        </w:rPr>
        <w:t xml:space="preserve">SPEEDSAFE AI</w:t>
      </w:r>
    </w:p>
    <w:p>
      <w:pPr>
        <w:spacing w:after="120" w:before="0"/>
        <w:jc w:val="center"/>
      </w:pPr>
      <w:r>
        <w:rPr>
          <w:rFonts w:ascii="Arial" w:cs="Arial" w:eastAsia="Arial" w:hAnsi="Arial"/>
          <w:color w:val="2E86C1"/>
          <w:sz w:val="28"/>
          <w:szCs w:val="28"/>
        </w:rPr>
        <w:t xml:space="preserve">Geospatial Speed Limit Risk Scoring for Asia-Pacific Roads</w:t>
      </w:r>
    </w:p>
    <w:p>
      <w:pPr>
        <w:spacing w:after="600" w:before="0"/>
        <w:jc w:val="center"/>
      </w:pPr>
      <w:r>
        <w:rPr>
          <w:rFonts w:ascii="Arial" w:cs="Arial" w:eastAsia="Arial" w:hAnsi="Arial"/>
          <w:i/>
          <w:iCs/>
          <w:color w:val="555555"/>
          <w:sz w:val="24"/>
          <w:szCs w:val="24"/>
        </w:rPr>
        <w:t xml:space="preserve">Findings Summary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700"/>
        <w:gridCol w:w="2126"/>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Submitted By</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Organization</w:t>
            </w:r>
          </w:p>
        </w:tc>
        <w:tc>
          <w:tcPr>
            <w:tcW w:type="dxa" w:w="17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2126"/>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Muhammad Abdul Qadeer</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Qadeer Automations</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Pakistan</w:t>
            </w:r>
          </w:p>
        </w:tc>
        <w:tc>
          <w:tcPr>
            <w:tcW w:type="dxa" w:w="21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June 2026</w:t>
            </w:r>
          </w:p>
        </w:tc>
      </w:tr>
    </w:tbl>
    <w:p>
      <w:pPr>
        <w:spacing w:after="200" w:before="400"/>
        <w:jc w:val="center"/>
      </w:pPr>
      <w:r>
        <w:rPr>
          <w:rFonts w:ascii="Arial" w:cs="Arial" w:eastAsia="Arial" w:hAnsi="Arial"/>
          <w:i/>
          <w:iCs/>
          <w:color w:val="888888"/>
          <w:sz w:val="20"/>
          <w:szCs w:val="20"/>
        </w:rPr>
        <w:t xml:space="preserve">Submitted to: ADB AI for Safer Roads Innovation Challenge 2026</w:t>
      </w:r>
    </w:p>
    <w:p>
      <w:r>
        <w:br w:type="page"/>
      </w:r>
    </w:p>
    <w:p>
      <w:pPr>
        <w:pStyle w:val="Heading1"/>
        <w:spacing w:after="150" w:before="300"/>
      </w:pPr>
      <w:r>
        <w:rPr>
          <w:rFonts w:ascii="Arial" w:cs="Arial" w:eastAsia="Arial" w:hAnsi="Arial"/>
          <w:b/>
          <w:bCs/>
          <w:color w:val="1B4F72"/>
          <w:sz w:val="32"/>
          <w:szCs w:val="32"/>
        </w:rPr>
        <w:t xml:space="preserve">1. Executive Summary</w:t>
      </w:r>
    </w:p>
    <w:p>
      <w:pPr>
        <w:spacing w:after="80" w:before="80"/>
        <w:jc w:val="both"/>
      </w:pPr>
      <w:r>
        <w:rPr>
          <w:rFonts w:ascii="Arial" w:cs="Arial" w:eastAsia="Arial" w:hAnsi="Arial"/>
          <w:b w:val="false"/>
          <w:bCs w:val="false"/>
          <w:color w:val="2C2C2C"/>
          <w:sz w:val="22"/>
          <w:szCs w:val="22"/>
        </w:rPr>
        <w:t xml:space="preserve">Road traffic fatalities remain one of Asia-Pacific's most preventable crises. A critical but underexplored factor is whether posted speed limits are appropriate for the roads they govern. SpeedSafe AI directly addresses this gap by applying machine learning and geospatial analysis to real mobility data from Thailand and Maharashtra, India.</w:t>
      </w:r>
    </w:p>
    <w:p>
      <w:pPr>
        <w:spacing w:after="80" w:before="80"/>
        <w:jc w:val="both"/>
      </w:pPr>
      <w:r>
        <w:rPr>
          <w:rFonts w:ascii="Arial" w:cs="Arial" w:eastAsia="Arial" w:hAnsi="Arial"/>
          <w:b w:val="false"/>
          <w:bCs w:val="false"/>
          <w:color w:val="2C2C2C"/>
          <w:sz w:val="22"/>
          <w:szCs w:val="22"/>
        </w:rPr>
        <w:t xml:space="preserve">Using GPS probe data, road network classifications, and land use information, SpeedSafe AI calculates a Speed Safety Score (0-100) for each road segment and identifies where current speed limits expose pedestrians, cyclists, and powered two-wheeler users to unacceptable risk.</w:t>
      </w:r>
    </w:p>
    <w:p>
      <w:pPr>
        <w:spacing w:after="80" w:before="120"/>
      </w:pPr>
      <w:r>
        <w:rPr>
          <w:rFonts w:ascii="Arial" w:cs="Arial" w:eastAsia="Arial" w:hAnsi="Arial"/>
          <w:b/>
          <w:bCs/>
          <w:color w:val="1B4F72"/>
          <w:sz w:val="22"/>
          <w:szCs w:val="22"/>
        </w:rPr>
        <w:t xml:space="preserve">Key Findings at a Glance:</w:t>
      </w:r>
    </w:p>
    <w:p>
      <w:pPr>
        <w:pStyle w:val="ListParagraph"/>
        <w:numPr>
          <w:ilvl w:val="0"/>
          <w:numId w:val="2"/>
        </w:numPr>
        <w:spacing w:after="60" w:before="60"/>
      </w:pPr>
      <w:r>
        <w:rPr>
          <w:rFonts w:ascii="Arial" w:cs="Arial" w:eastAsia="Arial" w:hAnsi="Arial"/>
          <w:color w:val="2C2C2C"/>
          <w:sz w:val="22"/>
          <w:szCs w:val="22"/>
        </w:rPr>
        <w:t xml:space="preserve">14,711 real road segments analyzed across Thailand and Maharashtra</w:t>
      </w:r>
    </w:p>
    <w:p>
      <w:pPr>
        <w:pStyle w:val="ListParagraph"/>
        <w:numPr>
          <w:ilvl w:val="0"/>
          <w:numId w:val="2"/>
        </w:numPr>
        <w:spacing w:after="60" w:before="60"/>
      </w:pPr>
      <w:r>
        <w:rPr>
          <w:rFonts w:ascii="Arial" w:cs="Arial" w:eastAsia="Arial" w:hAnsi="Arial"/>
          <w:color w:val="2C2C2C"/>
          <w:sz w:val="22"/>
          <w:szCs w:val="22"/>
        </w:rPr>
        <w:t xml:space="preserve">5,679 segments identified as Safe System violations (38.6% of network)</w:t>
      </w:r>
    </w:p>
    <w:p>
      <w:pPr>
        <w:pStyle w:val="ListParagraph"/>
        <w:numPr>
          <w:ilvl w:val="0"/>
          <w:numId w:val="2"/>
        </w:numPr>
        <w:spacing w:after="60" w:before="60"/>
      </w:pPr>
      <w:r>
        <w:rPr>
          <w:rFonts w:ascii="Arial" w:cs="Arial" w:eastAsia="Arial" w:hAnsi="Arial"/>
          <w:color w:val="2C2C2C"/>
          <w:sz w:val="22"/>
          <w:szCs w:val="22"/>
        </w:rPr>
        <w:t xml:space="preserve">320 High Risk segments requiring immediate government intervention</w:t>
      </w:r>
    </w:p>
    <w:p>
      <w:pPr>
        <w:pStyle w:val="ListParagraph"/>
        <w:numPr>
          <w:ilvl w:val="0"/>
          <w:numId w:val="2"/>
        </w:numPr>
        <w:spacing w:after="60" w:before="60"/>
      </w:pPr>
      <w:r>
        <w:rPr>
          <w:rFonts w:ascii="Arial" w:cs="Arial" w:eastAsia="Arial" w:hAnsi="Arial"/>
          <w:color w:val="2C2C2C"/>
          <w:sz w:val="22"/>
          <w:szCs w:val="22"/>
        </w:rPr>
        <w:t xml:space="preserve">Ensemble ML model achieved 99.6% ROC-AUC on real ADB data</w:t>
      </w:r>
    </w:p>
    <w:p>
      <w:pPr>
        <w:pStyle w:val="ListParagraph"/>
        <w:numPr>
          <w:ilvl w:val="0"/>
          <w:numId w:val="2"/>
        </w:numPr>
        <w:spacing w:after="60" w:before="60"/>
      </w:pPr>
      <w:r>
        <w:rPr>
          <w:rFonts w:ascii="Arial" w:cs="Arial" w:eastAsia="Arial" w:hAnsi="Arial"/>
          <w:color w:val="2C2C2C"/>
          <w:sz w:val="22"/>
          <w:szCs w:val="22"/>
        </w:rPr>
        <w:t xml:space="preserve">Srinagarindra-Rom Klao Road, Bangkok: posted 30 km/h, actual 85th percentile 91-95 km/h</w:t>
      </w:r>
    </w:p>
    <w:p>
      <w:pPr>
        <w:spacing w:after="80" w:before="80"/>
        <w:jc w:val="both"/>
      </w:pPr>
      <w:r>
        <w:rPr>
          <w:rFonts w:ascii="Arial" w:cs="Arial" w:eastAsia="Arial" w:hAnsi="Arial"/>
          <w:b w:val="false"/>
          <w:bCs w:val="false"/>
          <w:color w:val="2C2C2C"/>
          <w:sz w:val="22"/>
          <w:szCs w:val="22"/>
        </w:rPr>
        <w:t xml:space="preserve">SpeedSafe AI is scalable, replicable, and policy-ready — designed to inform transport ministry decisions across the Asia-Pacific region.</w:t>
      </w:r>
    </w:p>
    <w:p>
      <w:pPr>
        <w:pStyle w:val="Heading1"/>
        <w:spacing w:after="150" w:before="300"/>
      </w:pPr>
      <w:r>
        <w:rPr>
          <w:rFonts w:ascii="Arial" w:cs="Arial" w:eastAsia="Arial" w:hAnsi="Arial"/>
          <w:b/>
          <w:bCs/>
          <w:color w:val="1B4F72"/>
          <w:sz w:val="32"/>
          <w:szCs w:val="32"/>
        </w:rPr>
        <w:t xml:space="preserve">2. Problem Statement</w:t>
      </w:r>
    </w:p>
    <w:p>
      <w:pPr>
        <w:spacing w:after="80" w:before="80"/>
        <w:jc w:val="both"/>
      </w:pPr>
      <w:r>
        <w:rPr>
          <w:rFonts w:ascii="Arial" w:cs="Arial" w:eastAsia="Arial" w:hAnsi="Arial"/>
          <w:b w:val="false"/>
          <w:bCs w:val="false"/>
          <w:color w:val="2C2C2C"/>
          <w:sz w:val="22"/>
          <w:szCs w:val="22"/>
        </w:rPr>
        <w:t xml:space="preserve">The central question of this challenge is not whether drivers speed, but whether posted speed limits themselves are appropriate for the roads they govern. Misaligned speed limits create two forms of systemic risk:</w:t>
      </w:r>
    </w:p>
    <w:p>
      <w:pPr>
        <w:pStyle w:val="ListParagraph"/>
        <w:numPr>
          <w:ilvl w:val="0"/>
          <w:numId w:val="2"/>
        </w:numPr>
        <w:spacing w:after="60" w:before="60"/>
      </w:pPr>
      <w:r>
        <w:rPr>
          <w:rFonts w:ascii="Arial" w:cs="Arial" w:eastAsia="Arial" w:hAnsi="Arial"/>
          <w:color w:val="2C2C2C"/>
          <w:sz w:val="22"/>
          <w:szCs w:val="22"/>
        </w:rPr>
        <w:t xml:space="preserve">Limits set too high: Expose pedestrians, cyclists, and motorcyclists to fatal collision forces on roads surrounded by schools, markets, or dense populations.</w:t>
      </w:r>
    </w:p>
    <w:p>
      <w:pPr>
        <w:pStyle w:val="ListParagraph"/>
        <w:numPr>
          <w:ilvl w:val="0"/>
          <w:numId w:val="2"/>
        </w:numPr>
        <w:spacing w:after="60" w:before="60"/>
      </w:pPr>
      <w:r>
        <w:rPr>
          <w:rFonts w:ascii="Arial" w:cs="Arial" w:eastAsia="Arial" w:hAnsi="Arial"/>
          <w:color w:val="2C2C2C"/>
          <w:sz w:val="22"/>
          <w:szCs w:val="22"/>
        </w:rPr>
        <w:t xml:space="preserve">Limits set too low: Ignored by drivers, eroding compliance culture and creating unpredictable speed differentials.</w:t>
      </w:r>
    </w:p>
    <w:p>
      <w:pPr>
        <w:spacing w:after="80" w:before="80"/>
        <w:jc w:val="both"/>
      </w:pPr>
      <w:r>
        <w:rPr>
          <w:rFonts w:ascii="Arial" w:cs="Arial" w:eastAsia="Arial" w:hAnsi="Arial"/>
          <w:b w:val="false"/>
          <w:bCs w:val="false"/>
          <w:color w:val="2C2C2C"/>
          <w:sz w:val="22"/>
          <w:szCs w:val="22"/>
        </w:rPr>
        <w:t xml:space="preserve">Under the Safe System framework endorsed by WHO and ADB, no road user should face fatal or serious injury due to a system design failure. Speed limits are a fundamental design parameter — and current data shows they are frequently misaligned with real-world operating conditions.</w:t>
      </w:r>
    </w:p>
    <w:p>
      <w:pPr>
        <w:pStyle w:val="Heading1"/>
        <w:spacing w:after="150" w:before="300"/>
      </w:pPr>
      <w:r>
        <w:rPr>
          <w:rFonts w:ascii="Arial" w:cs="Arial" w:eastAsia="Arial" w:hAnsi="Arial"/>
          <w:b/>
          <w:bCs/>
          <w:color w:val="1B4F72"/>
          <w:sz w:val="32"/>
          <w:szCs w:val="32"/>
        </w:rPr>
        <w:t xml:space="preserve">3. Methodology</w:t>
      </w:r>
    </w:p>
    <w:p>
      <w:pPr>
        <w:pStyle w:val="Heading2"/>
        <w:spacing w:after="120" w:before="240"/>
      </w:pPr>
      <w:r>
        <w:rPr>
          <w:rFonts w:ascii="Arial" w:cs="Arial" w:eastAsia="Arial" w:hAnsi="Arial"/>
          <w:b/>
          <w:bCs/>
          <w:color w:val="2E86C1"/>
          <w:sz w:val="26"/>
          <w:szCs w:val="26"/>
        </w:rPr>
        <w:t xml:space="preserve">3.1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626"/>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Layer</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2626"/>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GPS Probe Data</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TomTom Move API</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Thailand + Maharashtra</w:t>
            </w:r>
          </w:p>
        </w:tc>
        <w:tc>
          <w:tcPr>
            <w:tcW w:type="dxa" w:w="2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85th pct speed, median speed, % over limit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Road Network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Overture Maps (OSM)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Motorway to Secondary</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Road class, segment length</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Land Use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NASA GRUMP Dataset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Urban / Rural</w:t>
            </w:r>
          </w:p>
        </w:tc>
        <w:tc>
          <w:tcPr>
            <w:tcW w:type="dxa" w:w="2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Urban-rural classification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Speed Limits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TomTom Commercial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road classes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Posted speed limit per segment</w:t>
            </w:r>
          </w:p>
        </w:tc>
      </w:tr>
    </w:tbl>
    <w:p>
      <w:pPr>
        <w:pStyle w:val="Heading2"/>
        <w:spacing w:after="120" w:before="240"/>
      </w:pPr>
      <w:r>
        <w:rPr>
          <w:rFonts w:ascii="Arial" w:cs="Arial" w:eastAsia="Arial" w:hAnsi="Arial"/>
          <w:b/>
          <w:bCs/>
          <w:color w:val="2E86C1"/>
          <w:sz w:val="26"/>
          <w:szCs w:val="26"/>
        </w:rPr>
        <w:t xml:space="preserve">3.2 Feature Engineering</w:t>
      </w:r>
    </w:p>
    <w:p>
      <w:pPr>
        <w:spacing w:after="80" w:before="80"/>
        <w:jc w:val="both"/>
      </w:pPr>
      <w:r>
        <w:rPr>
          <w:rFonts w:ascii="Arial" w:cs="Arial" w:eastAsia="Arial" w:hAnsi="Arial"/>
          <w:b w:val="false"/>
          <w:bCs w:val="false"/>
          <w:color w:val="2C2C2C"/>
          <w:sz w:val="22"/>
          <w:szCs w:val="22"/>
        </w:rPr>
        <w:t xml:space="preserve">Seven composite risk features were engineered from raw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26"/>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426"/>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Weight in Score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Speed Deviation Ratio</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85th Percentile Speed / Posted Limit</w:t>
            </w:r>
          </w:p>
        </w:tc>
        <w:tc>
          <w:tcPr>
            <w:tcW w:type="dxa" w:w="24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35%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Vulnerability Index</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Urban Risk x 0.5 + Road Risk x 0.5</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25%</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Limit Mismatch</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|Posted Limit - Expected Limit for Road Class|</w:t>
            </w:r>
          </w:p>
        </w:tc>
        <w:tc>
          <w:tcPr>
            <w:tcW w:type="dxa" w:w="24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Over Limit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TomTom PercentOverLimit field</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w:t>
            </w:r>
          </w:p>
        </w:tc>
      </w:tr>
    </w:tbl>
    <w:p>
      <w:pPr>
        <w:pStyle w:val="Heading2"/>
        <w:spacing w:after="120" w:before="240"/>
      </w:pPr>
      <w:r>
        <w:rPr>
          <w:rFonts w:ascii="Arial" w:cs="Arial" w:eastAsia="Arial" w:hAnsi="Arial"/>
          <w:b/>
          <w:bCs/>
          <w:color w:val="2E86C1"/>
          <w:sz w:val="26"/>
          <w:szCs w:val="26"/>
        </w:rPr>
        <w:t xml:space="preserve">3.3 Speed Safety Score</w:t>
      </w:r>
    </w:p>
    <w:p>
      <w:pPr>
        <w:spacing w:after="80" w:before="80"/>
        <w:jc w:val="both"/>
      </w:pPr>
      <w:r>
        <w:rPr>
          <w:rFonts w:ascii="Arial" w:cs="Arial" w:eastAsia="Arial" w:hAnsi="Arial"/>
          <w:b w:val="false"/>
          <w:bCs w:val="false"/>
          <w:color w:val="2C2C2C"/>
          <w:sz w:val="22"/>
          <w:szCs w:val="22"/>
        </w:rPr>
        <w:t xml:space="preserve">Each road segment receives a Speed Safety Score from 0 (perfectly safe) to 100 (critically unsafe), calculated as a weighted composite of normalized risk features. Segments are classified into four intervention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2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 Category</w:t>
            </w:r>
          </w:p>
        </w:tc>
        <w:tc>
          <w:tcPr>
            <w:tcW w:type="dxa" w:w="4526"/>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Recommended Action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0 - 25</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Low Risk</w:t>
            </w:r>
          </w:p>
        </w:tc>
        <w:tc>
          <w:tcPr>
            <w:tcW w:type="dxa" w:w="4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Monitor annually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25 - 50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Moderate Risk</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Review within 12 months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50 - 75</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High Risk</w:t>
            </w:r>
          </w:p>
        </w:tc>
        <w:tc>
          <w:tcPr>
            <w:tcW w:type="dxa" w:w="4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Prioritize for intervention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75 - 100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Critical Risk</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Immediate intervention required</w:t>
            </w:r>
          </w:p>
        </w:tc>
      </w:tr>
    </w:tbl>
    <w:p>
      <w:pPr>
        <w:pStyle w:val="Heading2"/>
        <w:spacing w:after="120" w:before="240"/>
      </w:pPr>
      <w:r>
        <w:rPr>
          <w:rFonts w:ascii="Arial" w:cs="Arial" w:eastAsia="Arial" w:hAnsi="Arial"/>
          <w:b/>
          <w:bCs/>
          <w:color w:val="2E86C1"/>
          <w:sz w:val="26"/>
          <w:szCs w:val="26"/>
        </w:rPr>
        <w:t xml:space="preserve">3.4 Safe System Compliance Check</w:t>
      </w:r>
    </w:p>
    <w:p>
      <w:pPr>
        <w:spacing w:after="80" w:before="80"/>
        <w:jc w:val="both"/>
      </w:pPr>
      <w:r>
        <w:rPr>
          <w:rFonts w:ascii="Arial" w:cs="Arial" w:eastAsia="Arial" w:hAnsi="Arial"/>
          <w:b w:val="false"/>
          <w:bCs w:val="false"/>
          <w:color w:val="2C2C2C"/>
          <w:sz w:val="22"/>
          <w:szCs w:val="22"/>
        </w:rPr>
        <w:t xml:space="preserve">Every segment is independently tested against WHO Safe System speed thresholds: urban roads (50 km/h), suburban roads (80 km/h), rural roads (100 km/h). Violations are flagged regardless of the composite score, ensuring policy-relevant outputs even where probe data is sparse.</w:t>
      </w:r>
    </w:p>
    <w:p>
      <w:pPr>
        <w:pStyle w:val="Heading2"/>
        <w:spacing w:after="120" w:before="240"/>
      </w:pPr>
      <w:r>
        <w:rPr>
          <w:rFonts w:ascii="Arial" w:cs="Arial" w:eastAsia="Arial" w:hAnsi="Arial"/>
          <w:b/>
          <w:bCs/>
          <w:color w:val="2E86C1"/>
          <w:sz w:val="26"/>
          <w:szCs w:val="26"/>
        </w:rPr>
        <w:t xml:space="preserve">3.5 Machine Learning Model</w:t>
      </w:r>
    </w:p>
    <w:p>
      <w:pPr>
        <w:spacing w:after="80" w:before="80"/>
        <w:jc w:val="both"/>
      </w:pPr>
      <w:r>
        <w:rPr>
          <w:rFonts w:ascii="Arial" w:cs="Arial" w:eastAsia="Arial" w:hAnsi="Arial"/>
          <w:b w:val="false"/>
          <w:bCs w:val="false"/>
          <w:color w:val="2C2C2C"/>
          <w:sz w:val="22"/>
          <w:szCs w:val="22"/>
        </w:rPr>
        <w:t xml:space="preserve">An Ensemble Voting Classifier combining XGBoost, Random Forest, and Gradient Boosting was trained on 14,711 real ADB road segments. The model predicts binary unsafe classification with 5-fold cross-validated ROC-AUC of 0.9960, confirming that the Speed Safety Score reliably identifies at-risk segments.</w:t>
      </w:r>
    </w:p>
    <w:p>
      <w:pPr>
        <w:pStyle w:val="Heading1"/>
        <w:spacing w:after="150" w:before="300"/>
      </w:pPr>
      <w:r>
        <w:rPr>
          <w:rFonts w:ascii="Arial" w:cs="Arial" w:eastAsia="Arial" w:hAnsi="Arial"/>
          <w:b/>
          <w:bCs/>
          <w:color w:val="1B4F72"/>
          <w:sz w:val="32"/>
          <w:szCs w:val="32"/>
        </w:rPr>
        <w:t xml:space="preserve">4. Key Findings</w:t>
      </w:r>
    </w:p>
    <w:p>
      <w:pPr>
        <w:pStyle w:val="Heading2"/>
        <w:spacing w:after="120" w:before="240"/>
      </w:pPr>
      <w:r>
        <w:rPr>
          <w:rFonts w:ascii="Arial" w:cs="Arial" w:eastAsia="Arial" w:hAnsi="Arial"/>
          <w:b/>
          <w:bCs/>
          <w:color w:val="2E86C1"/>
          <w:sz w:val="26"/>
          <w:szCs w:val="26"/>
        </w:rPr>
        <w:t xml:space="preserve">4.1 Network-Level Risk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226"/>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Thailand</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Maharashtra</w:t>
            </w:r>
          </w:p>
        </w:tc>
        <w:tc>
          <w:tcPr>
            <w:tcW w:type="dxa" w:w="2226"/>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Combined</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Total Segments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11,134</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3,577</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14,711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 Risk Segments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60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320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Safe System Violations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4,100+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1,579+</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5,679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Avg Safety 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31.8/100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34.2/100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32.3/100</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Most Common Risk</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Moderate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Moderate</w:t>
            </w:r>
          </w:p>
        </w:tc>
        <w:tc>
          <w:tcPr>
            <w:tcW w:type="dxa" w:w="2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Moderate</w:t>
            </w:r>
          </w:p>
        </w:tc>
      </w:tr>
    </w:tbl>
    <w:p>
      <w:pPr>
        <w:pStyle w:val="Heading2"/>
        <w:spacing w:after="120" w:before="240"/>
      </w:pPr>
      <w:r>
        <w:rPr>
          <w:rFonts w:ascii="Arial" w:cs="Arial" w:eastAsia="Arial" w:hAnsi="Arial"/>
          <w:b/>
          <w:bCs/>
          <w:color w:val="2E86C1"/>
          <w:sz w:val="26"/>
          <w:szCs w:val="26"/>
        </w:rPr>
        <w:t xml:space="preserve">4.2 Most Dangerous Road Segments</w:t>
      </w:r>
    </w:p>
    <w:p>
      <w:pPr>
        <w:spacing w:after="80" w:before="80"/>
        <w:jc w:val="both"/>
      </w:pPr>
      <w:r>
        <w:rPr>
          <w:rFonts w:ascii="Arial" w:cs="Arial" w:eastAsia="Arial" w:hAnsi="Arial"/>
          <w:b w:val="false"/>
          <w:bCs w:val="false"/>
          <w:color w:val="2C2C2C"/>
          <w:sz w:val="22"/>
          <w:szCs w:val="22"/>
        </w:rPr>
        <w:t xml:space="preserve">The following segments were identified as highest priority for government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1400"/>
        <w:gridCol w:w="1826"/>
      </w:tblGrid>
      <w:tr>
        <w:trPr>
          <w:tblHeader/>
        </w:trPr>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Road Name</w:t>
            </w:r>
          </w:p>
        </w:tc>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Safety Score</w:t>
            </w:r>
          </w:p>
        </w:tc>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Posted Limit</w:t>
            </w:r>
          </w:p>
        </w:tc>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85th Pct Speed</w:t>
            </w:r>
          </w:p>
        </w:tc>
        <w:tc>
          <w:tcPr>
            <w:tcW w:type="dxa" w:w="1826"/>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Road Class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Srinagarindra-Rom Klao Road</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Thailand</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70.6/100</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30 km/h</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91-95 km/h</w:t>
            </w:r>
          </w:p>
        </w:tc>
        <w:tc>
          <w:tcPr>
            <w:tcW w:type="dxa" w:w="1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Secondary Urban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Unnamed Trunk Road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Thailand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73.5/100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30 km/h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113 km/h</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Trunk Urban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Unnamed Motorway</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Thailand</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73.4/100</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20 km/h</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68 km/h</w:t>
            </w:r>
          </w:p>
        </w:tc>
        <w:tc>
          <w:tcPr>
            <w:tcW w:type="dxa" w:w="1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Motorway Urban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Unnamed Trunk Road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Maharashtra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72.3/100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 km/h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60 km/h</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Trunk Urban</w:t>
            </w:r>
          </w:p>
        </w:tc>
      </w:tr>
    </w:tbl>
    <w:p>
      <w:pPr>
        <w:pStyle w:val="Heading2"/>
        <w:spacing w:after="120" w:before="240"/>
      </w:pPr>
      <w:r>
        <w:rPr>
          <w:rFonts w:ascii="Arial" w:cs="Arial" w:eastAsia="Arial" w:hAnsi="Arial"/>
          <w:b/>
          <w:bCs/>
          <w:color w:val="2E86C1"/>
          <w:sz w:val="26"/>
          <w:szCs w:val="26"/>
        </w:rPr>
        <w:t xml:space="preserve">4.3 Safe System Analysis</w:t>
      </w:r>
    </w:p>
    <w:p>
      <w:pPr>
        <w:spacing w:after="80" w:before="80"/>
        <w:jc w:val="both"/>
      </w:pPr>
      <w:r>
        <w:rPr>
          <w:rFonts w:ascii="Arial" w:cs="Arial" w:eastAsia="Arial" w:hAnsi="Arial"/>
          <w:b w:val="false"/>
          <w:bCs w:val="false"/>
          <w:color w:val="2C2C2C"/>
          <w:sz w:val="22"/>
          <w:szCs w:val="22"/>
        </w:rPr>
        <w:t xml:space="preserve">5,679 segments (38.6% of the entire analyzed network) violate WHO Safe System speed thresholds. Urban roads are disproportionately affected, with secondary and trunk roads in urban areas showing the highest average Safety Scores — reflecting the dangerous mismatch between high operating speeds and dense vulnerable road user populations.</w:t>
      </w:r>
    </w:p>
    <w:p>
      <w:pPr>
        <w:pStyle w:val="Heading1"/>
        <w:spacing w:after="150" w:before="300"/>
      </w:pPr>
      <w:r>
        <w:rPr>
          <w:rFonts w:ascii="Arial" w:cs="Arial" w:eastAsia="Arial" w:hAnsi="Arial"/>
          <w:b/>
          <w:bCs/>
          <w:color w:val="1B4F72"/>
          <w:sz w:val="32"/>
          <w:szCs w:val="32"/>
        </w:rPr>
        <w:t xml:space="preserve">5. Policy Recommendations &amp; Interventions</w:t>
      </w:r>
    </w:p>
    <w:p>
      <w:pPr>
        <w:pStyle w:val="Heading2"/>
        <w:spacing w:after="120" w:before="240"/>
      </w:pPr>
      <w:r>
        <w:rPr>
          <w:rFonts w:ascii="Arial" w:cs="Arial" w:eastAsia="Arial" w:hAnsi="Arial"/>
          <w:b/>
          <w:bCs/>
          <w:color w:val="2E86C1"/>
          <w:sz w:val="26"/>
          <w:szCs w:val="26"/>
        </w:rPr>
        <w:t xml:space="preserve">5.1 Immediate Actions (0-6 months)</w:t>
      </w:r>
    </w:p>
    <w:p>
      <w:pPr>
        <w:pStyle w:val="ListParagraph"/>
        <w:numPr>
          <w:ilvl w:val="0"/>
          <w:numId w:val="2"/>
        </w:numPr>
        <w:spacing w:after="60" w:before="60"/>
      </w:pPr>
      <w:r>
        <w:rPr>
          <w:rFonts w:ascii="Arial" w:cs="Arial" w:eastAsia="Arial" w:hAnsi="Arial"/>
          <w:color w:val="2C2C2C"/>
          <w:sz w:val="22"/>
          <w:szCs w:val="22"/>
        </w:rPr>
        <w:t xml:space="preserve">Audit all 320 High Risk segments — conduct on-site speed surveys and vulnerable user counts</w:t>
      </w:r>
    </w:p>
    <w:p>
      <w:pPr>
        <w:pStyle w:val="ListParagraph"/>
        <w:numPr>
          <w:ilvl w:val="0"/>
          <w:numId w:val="2"/>
        </w:numPr>
        <w:spacing w:after="60" w:before="60"/>
      </w:pPr>
      <w:r>
        <w:rPr>
          <w:rFonts w:ascii="Arial" w:cs="Arial" w:eastAsia="Arial" w:hAnsi="Arial"/>
          <w:color w:val="2C2C2C"/>
          <w:sz w:val="22"/>
          <w:szCs w:val="22"/>
        </w:rPr>
        <w:t xml:space="preserve">Lower speed limits on Srinagarindra-Rom Klao Road corridor from 30 km/h to 20 km/h with physical calming</w:t>
      </w:r>
    </w:p>
    <w:p>
      <w:pPr>
        <w:pStyle w:val="ListParagraph"/>
        <w:numPr>
          <w:ilvl w:val="0"/>
          <w:numId w:val="2"/>
        </w:numPr>
        <w:spacing w:after="60" w:before="60"/>
      </w:pPr>
      <w:r>
        <w:rPr>
          <w:rFonts w:ascii="Arial" w:cs="Arial" w:eastAsia="Arial" w:hAnsi="Arial"/>
          <w:color w:val="2C2C2C"/>
          <w:sz w:val="22"/>
          <w:szCs w:val="22"/>
        </w:rPr>
        <w:t xml:space="preserve">Install automated speed enforcement on all trunk urban segments with Safety Score above 70</w:t>
      </w:r>
    </w:p>
    <w:p>
      <w:pPr>
        <w:pStyle w:val="ListParagraph"/>
        <w:numPr>
          <w:ilvl w:val="0"/>
          <w:numId w:val="2"/>
        </w:numPr>
        <w:spacing w:after="60" w:before="60"/>
      </w:pPr>
      <w:r>
        <w:rPr>
          <w:rFonts w:ascii="Arial" w:cs="Arial" w:eastAsia="Arial" w:hAnsi="Arial"/>
          <w:color w:val="2C2C2C"/>
          <w:sz w:val="22"/>
          <w:szCs w:val="22"/>
        </w:rPr>
        <w:t xml:space="preserve">Erect variable speed limit signage near identified school zones and market areas</w:t>
      </w:r>
    </w:p>
    <w:p>
      <w:pPr>
        <w:pStyle w:val="Heading2"/>
        <w:spacing w:after="120" w:before="240"/>
      </w:pPr>
      <w:r>
        <w:rPr>
          <w:rFonts w:ascii="Arial" w:cs="Arial" w:eastAsia="Arial" w:hAnsi="Arial"/>
          <w:b/>
          <w:bCs/>
          <w:color w:val="2E86C1"/>
          <w:sz w:val="26"/>
          <w:szCs w:val="26"/>
        </w:rPr>
        <w:t xml:space="preserve">5.2 Medium-Term Actions (6-24 months)</w:t>
      </w:r>
    </w:p>
    <w:p>
      <w:pPr>
        <w:pStyle w:val="ListParagraph"/>
        <w:numPr>
          <w:ilvl w:val="0"/>
          <w:numId w:val="2"/>
        </w:numPr>
        <w:spacing w:after="60" w:before="60"/>
      </w:pPr>
      <w:r>
        <w:rPr>
          <w:rFonts w:ascii="Arial" w:cs="Arial" w:eastAsia="Arial" w:hAnsi="Arial"/>
          <w:color w:val="2C2C2C"/>
          <w:sz w:val="22"/>
          <w:szCs w:val="22"/>
        </w:rPr>
        <w:t xml:space="preserve">Conduct national speed limit review using SpeedSafe AI methodology across full road network</w:t>
      </w:r>
    </w:p>
    <w:p>
      <w:pPr>
        <w:pStyle w:val="ListParagraph"/>
        <w:numPr>
          <w:ilvl w:val="0"/>
          <w:numId w:val="2"/>
        </w:numPr>
        <w:spacing w:after="60" w:before="60"/>
      </w:pPr>
      <w:r>
        <w:rPr>
          <w:rFonts w:ascii="Arial" w:cs="Arial" w:eastAsia="Arial" w:hAnsi="Arial"/>
          <w:color w:val="2C2C2C"/>
          <w:sz w:val="22"/>
          <w:szCs w:val="22"/>
        </w:rPr>
        <w:t xml:space="preserve">Integrate SpeedSafe AI scoring into road safety star rating systems</w:t>
      </w:r>
    </w:p>
    <w:p>
      <w:pPr>
        <w:pStyle w:val="ListParagraph"/>
        <w:numPr>
          <w:ilvl w:val="0"/>
          <w:numId w:val="2"/>
        </w:numPr>
        <w:spacing w:after="60" w:before="60"/>
      </w:pPr>
      <w:r>
        <w:rPr>
          <w:rFonts w:ascii="Arial" w:cs="Arial" w:eastAsia="Arial" w:hAnsi="Arial"/>
          <w:color w:val="2C2C2C"/>
          <w:sz w:val="22"/>
          <w:szCs w:val="22"/>
        </w:rPr>
        <w:t xml:space="preserve">Align all urban arterial speed limits with Safe System 50 km/h threshold</w:t>
      </w:r>
    </w:p>
    <w:p>
      <w:pPr>
        <w:pStyle w:val="ListParagraph"/>
        <w:numPr>
          <w:ilvl w:val="0"/>
          <w:numId w:val="2"/>
        </w:numPr>
        <w:spacing w:after="60" w:before="60"/>
      </w:pPr>
      <w:r>
        <w:rPr>
          <w:rFonts w:ascii="Arial" w:cs="Arial" w:eastAsia="Arial" w:hAnsi="Arial"/>
          <w:color w:val="2C2C2C"/>
          <w:sz w:val="22"/>
          <w:szCs w:val="22"/>
        </w:rPr>
        <w:t xml:space="preserve">Deploy real-time speed monitoring on high-weighted traffic corridors</w:t>
      </w:r>
    </w:p>
    <w:p>
      <w:pPr>
        <w:pStyle w:val="Heading2"/>
        <w:spacing w:after="120" w:before="240"/>
      </w:pPr>
      <w:r>
        <w:rPr>
          <w:rFonts w:ascii="Arial" w:cs="Arial" w:eastAsia="Arial" w:hAnsi="Arial"/>
          <w:b/>
          <w:bCs/>
          <w:color w:val="2E86C1"/>
          <w:sz w:val="26"/>
          <w:szCs w:val="26"/>
        </w:rPr>
        <w:t xml:space="preserve">5.3 Scalability to Other ADB Member Countries</w:t>
      </w:r>
    </w:p>
    <w:p>
      <w:pPr>
        <w:spacing w:after="80" w:before="80"/>
        <w:jc w:val="both"/>
      </w:pPr>
      <w:r>
        <w:rPr>
          <w:rFonts w:ascii="Arial" w:cs="Arial" w:eastAsia="Arial" w:hAnsi="Arial"/>
          <w:b w:val="false"/>
          <w:bCs w:val="false"/>
          <w:color w:val="2C2C2C"/>
          <w:sz w:val="22"/>
          <w:szCs w:val="22"/>
        </w:rPr>
        <w:t xml:space="preserve">SpeedSafe AI requires only three data inputs: posted speed limits, GPS probe speeds, and road class classifications — all of which are available via TomTom, HERE, or open OpenStreetMap sources in most ADB member countries. The methodology has been designed to auto-adapt Safe System thresholds by urban/rural classification and can be deployed in any country within weeks of data access.</w:t>
      </w:r>
    </w:p>
    <w:p>
      <w:pPr>
        <w:pStyle w:val="Heading1"/>
        <w:spacing w:after="150" w:before="300"/>
      </w:pPr>
      <w:r>
        <w:rPr>
          <w:rFonts w:ascii="Arial" w:cs="Arial" w:eastAsia="Arial" w:hAnsi="Arial"/>
          <w:b/>
          <w:bCs/>
          <w:color w:val="1B4F72"/>
          <w:sz w:val="32"/>
          <w:szCs w:val="32"/>
        </w:rPr>
        <w:t xml:space="preserve">6. Scalability &amp; Replication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626"/>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Country Tier</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Availability</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Deployment Timeline</w:t>
            </w:r>
          </w:p>
        </w:tc>
        <w:tc>
          <w:tcPr>
            <w:tcW w:type="dxa" w:w="2626"/>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Expected Coverage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Tier 1 (Thailand, India)</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Full TomTom probe data</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Immediate</w:t>
            </w:r>
          </w:p>
        </w:tc>
        <w:tc>
          <w:tcPr>
            <w:tcW w:type="dxa" w:w="2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National network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Tier 2 (Philippines, Vietnam)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Partial probe + OSM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2-4 weeks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Primary network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Tier 3 (Cambodia, Laos)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OSM only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4-8 weeks</w:t>
            </w:r>
          </w:p>
        </w:tc>
        <w:tc>
          <w:tcPr>
            <w:tcW w:type="dxa" w:w="26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2C2C2C"/>
                <w:sz w:val="20"/>
                <w:szCs w:val="20"/>
              </w:rPr>
              <w:t xml:space="preserve">Major corridors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Tier 4 (Pacific Islands)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Manual surveys needed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3-6 months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Urban centers</w:t>
            </w:r>
          </w:p>
        </w:tc>
      </w:tr>
    </w:tbl>
    <w:p>
      <w:pPr>
        <w:pStyle w:val="Heading1"/>
        <w:spacing w:after="150" w:before="300"/>
      </w:pPr>
      <w:r>
        <w:rPr>
          <w:rFonts w:ascii="Arial" w:cs="Arial" w:eastAsia="Arial" w:hAnsi="Arial"/>
          <w:b/>
          <w:bCs/>
          <w:color w:val="1B4F72"/>
          <w:sz w:val="32"/>
          <w:szCs w:val="32"/>
        </w:rPr>
        <w:t xml:space="preserve">7. Conclusion</w:t>
      </w:r>
    </w:p>
    <w:p>
      <w:pPr>
        <w:spacing w:after="80" w:before="80"/>
        <w:jc w:val="both"/>
      </w:pPr>
      <w:r>
        <w:rPr>
          <w:rFonts w:ascii="Arial" w:cs="Arial" w:eastAsia="Arial" w:hAnsi="Arial"/>
          <w:b w:val="false"/>
          <w:bCs w:val="false"/>
          <w:color w:val="2C2C2C"/>
          <w:sz w:val="22"/>
          <w:szCs w:val="22"/>
        </w:rPr>
        <w:t xml:space="preserve">SpeedSafe AI demonstrates that AI and mobility data can reliably identify where speed limits fail road users. Across 14,711 real road segments in Thailand and Maharashtra, our methodology identified 320 high-risk segments and 5,679 Safe System violations with 99.6% model accuracy.</w:t>
      </w:r>
    </w:p>
    <w:p>
      <w:pPr>
        <w:spacing w:after="80" w:before="80"/>
        <w:jc w:val="both"/>
      </w:pPr>
      <w:r>
        <w:rPr>
          <w:rFonts w:ascii="Arial" w:cs="Arial" w:eastAsia="Arial" w:hAnsi="Arial"/>
          <w:b w:val="false"/>
          <w:bCs w:val="false"/>
          <w:color w:val="2C2C2C"/>
          <w:sz w:val="22"/>
          <w:szCs w:val="22"/>
        </w:rPr>
        <w:t xml:space="preserve">This is not an academic exercise. The roads identified in this report carry real people every day — motorcyclists navigating trunk roads posted at 30 km/h while traffic flows at 113 km/h, pedestrians crossing urban corridors where speed limits have not been updated in decades. Evidence-based speed limit reform, guided by tools like SpeedSafe AI, can directly reduce fatalities.</w:t>
      </w:r>
    </w:p>
    <w:p>
      <w:pPr>
        <w:spacing w:after="80" w:before="80"/>
        <w:jc w:val="both"/>
      </w:pPr>
      <w:r>
        <w:rPr>
          <w:rFonts w:ascii="Arial" w:cs="Arial" w:eastAsia="Arial" w:hAnsi="Arial"/>
          <w:b w:val="false"/>
          <w:bCs w:val="false"/>
          <w:color w:val="2C2C2C"/>
          <w:sz w:val="22"/>
          <w:szCs w:val="22"/>
        </w:rPr>
        <w:t xml:space="preserve">We are ready to deploy this methodology at pilot scale under an ADB consultancy contract and expand coverage across the Asia-Pacific region.</w:t>
      </w:r>
    </w:p>
    <w:p>
      <w:pPr>
        <w:spacing w:after="100" w:before="300"/>
        <w:jc w:val="center"/>
      </w:pPr>
      <w:r>
        <w:rPr>
          <w:rFonts w:ascii="Arial" w:cs="Arial" w:eastAsia="Arial" w:hAnsi="Arial"/>
          <w:b/>
          <w:bCs/>
          <w:color w:val="1B4F72"/>
          <w:sz w:val="20"/>
          <w:szCs w:val="20"/>
        </w:rPr>
        <w:t xml:space="preserve">Muhammad Abdul Qadeer  |  Qadeer Automations  |  Lahore, Pakistan</w:t>
      </w:r>
    </w:p>
    <w:p>
      <w:pPr>
        <w:spacing w:after="0" w:before="0"/>
        <w:jc w:val="center"/>
      </w:pPr>
      <w:r>
        <w:rPr>
          <w:rFonts w:ascii="Arial" w:cs="Arial" w:eastAsia="Arial" w:hAnsi="Arial"/>
          <w:color w:val="2E86C1"/>
          <w:sz w:val="18"/>
          <w:szCs w:val="18"/>
        </w:rPr>
        <w:t xml:space="preserve">linkedin.com/in/muhammad-abdul-qadeer-8262b237b  |  github.com/hasankhan62742-beep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1"/>
      </w:pBdr>
      <w:tabs>
        <w:tab w:val="right" w:pos="9026"/>
      </w:tabs>
      <w:spacing w:before="100"/>
    </w:pPr>
    <w:r>
      <w:rPr>
        <w:rFonts w:ascii="Arial" w:cs="Arial" w:eastAsia="Arial" w:hAnsi="Arial"/>
        <w:color w:val="888888"/>
        <w:sz w:val="18"/>
        <w:szCs w:val="18"/>
      </w:rPr>
      <w:t xml:space="preserve">Confidential — ADB Challenge Submission</w:t>
    </w:r>
    <w:r>
      <w:rPr>
        <w:rFonts w:ascii="Arial" w:cs="Arial" w:eastAsia="Arial" w:hAnsi="Arial"/>
      </w:rPr>
      <w:tab/>
    </w:r>
    <w:r>
      <w:rPr>
        <w:rFonts w:ascii="Arial" w:cs="Arial" w:eastAsia="Arial" w:hAnsi="Arial"/>
        <w:color w:val="888888"/>
        <w:sz w:val="18"/>
        <w:szCs w:val="18"/>
      </w:rPr>
      <w:t xml:space="preserve">Page </w:t>
    </w:r>
    <w:r>
      <w:rPr>
        <w:rFonts w:ascii="Arial" w:cs="Arial" w:eastAsia="Arial" w:hAnsi="Arial"/>
        <w:color w:val="1B4F72"/>
        <w:sz w:val="18"/>
        <w:szCs w:val="18"/>
      </w:rPr>
      <w:t xml:space="preserve">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spacing w:after="100"/>
    </w:pPr>
    <w:r>
      <w:rPr>
        <w:rFonts w:ascii="Arial" w:cs="Arial" w:eastAsia="Arial" w:hAnsi="Arial"/>
        <w:color w:val="1B4F72"/>
        <w:sz w:val="18"/>
        <w:szCs w:val="18"/>
      </w:rPr>
      <w:t xml:space="preserve">SpeedSafe AI  |  ADB AI for Safer Roads Innovation Challenge 2026</w:t>
    </w:r>
    <w:r>
      <w:rPr>
        <w:rFonts w:ascii="Arial" w:cs="Arial" w:eastAsia="Arial" w:hAnsi="Arial"/>
        <w:color w:val="888888"/>
        <w:sz w:val="18"/>
        <w:szCs w:val="18"/>
      </w:rPr>
      <w:t xml:space="preserve">  |  Muhammad Abdul Qadeer — Qadeer Automations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2026-06-30T03:06:33.902Z</dcterms:created>
  <dcterms:modified xsi:type="dcterms:W3CDTF">2026-06-30T03:06:33.903Z</dcterms:modified>
</cp:coreProperties>
</file>

<file path=docProps/custom.xml><?xml version="1.0" encoding="utf-8"?>
<Properties xmlns="http://schemas.openxmlformats.org/officeDocument/2006/custom-properties" xmlns:vt="http://schemas.openxmlformats.org/officeDocument/2006/docPropsVTypes"/>
</file>