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jc w:val="center"/>
      </w:pPr>
      <w:r>
        <w:rPr>
          <w:rFonts w:ascii="Arial" w:hAnsi="Arial"/>
          <w:b/>
          <w:color w:val="003366"/>
          <w:sz w:val="26"/>
        </w:rPr>
        <w:t>BAHRAIN POLYTECHNIC | بوليتكنك البحرين</w:t>
      </w:r>
    </w:p>
    <w:p>
      <w:pPr>
        <w:spacing w:after="400"/>
        <w:jc w:val="center"/>
      </w:pPr>
      <w:r>
        <w:rPr>
          <w:rFonts w:ascii="Arial" w:hAnsi="Arial"/>
          <w:color w:val="4A607A"/>
          <w:sz w:val="21"/>
        </w:rPr>
        <w:t>Faculty of Engineering, Design and Information &amp; Communications Technology</w:t>
      </w:r>
    </w:p>
    <w:p>
      <w:pPr>
        <w:spacing w:after="100"/>
        <w:jc w:val="center"/>
      </w:pPr>
      <w:r>
        <w:rPr>
          <w:rFonts w:ascii="Arial" w:hAnsi="Arial"/>
          <w:b/>
          <w:color w:val="003366"/>
          <w:sz w:val="36"/>
        </w:rPr>
        <w:t>ASSESSMENT COVER SHEET &amp; PROJECT REPORT</w:t>
      </w:r>
    </w:p>
    <w:p>
      <w:pPr>
        <w:spacing w:after="320"/>
        <w:jc w:val="center"/>
      </w:pPr>
      <w:r>
        <w:rPr>
          <w:rFonts w:ascii="Arial" w:hAnsi="Arial"/>
          <w:i/>
          <w:color w:val="4A607A"/>
          <w:sz w:val="24"/>
        </w:rPr>
        <w:t>Intelligent Academic Performance Analysis &amp; Outcome Prediction Pipeline</w:t>
      </w:r>
    </w:p>
    <w:tbl>
      <w:tblPr>
        <w:tblW w:type="auto" w:w="0"/>
        <w:jc w:val="center"/>
        <w:tblLook w:firstColumn="1" w:firstRow="1" w:lastColumn="0" w:lastRow="0" w:noHBand="0" w:noVBand="1" w:val="04A0"/>
      </w:tblPr>
      <w:tblGrid>
        <w:gridCol w:w="4680"/>
        <w:gridCol w:w="4680"/>
      </w:tblGrid>
      <w:tr>
        <w:tc>
          <w:tcPr>
            <w:tcW w:type="dxa" w:w="3168"/>
            <w:shd w:fill="F4F6F9"/>
            <w:tcMar>
              <w:top w:w="60" w:type="dxa"/>
              <w:bottom w:w="60" w:type="dxa"/>
              <w:left w:w="100" w:type="dxa"/>
              <w:right w:w="100" w:type="dxa"/>
            </w:tcMar>
          </w:tcPr>
          <w:p>
            <w:pPr>
              <w:spacing w:after="0"/>
            </w:pPr>
            <w:r>
              <w:rPr>
                <w:rFonts w:ascii="Arial" w:hAnsi="Arial"/>
                <w:b/>
                <w:color w:val="222222"/>
                <w:sz w:val="18"/>
              </w:rPr>
              <w:t>Course Code &amp; Title</w:t>
            </w:r>
          </w:p>
        </w:tc>
        <w:tc>
          <w:tcPr>
            <w:tcW w:type="dxa" w:w="6192"/>
            <w:tcMar>
              <w:top w:w="60" w:type="dxa"/>
              <w:bottom w:w="60" w:type="dxa"/>
              <w:left w:w="100" w:type="dxa"/>
              <w:right w:w="100" w:type="dxa"/>
            </w:tcMar>
          </w:tcPr>
          <w:p>
            <w:pPr>
              <w:spacing w:after="0"/>
            </w:pPr>
            <w:r>
              <w:rPr>
                <w:rFonts w:ascii="Arial" w:hAnsi="Arial"/>
                <w:color w:val="222222"/>
                <w:sz w:val="18"/>
              </w:rPr>
              <w:t>IT7103 - Advanced AI Applications</w:t>
            </w:r>
          </w:p>
        </w:tc>
      </w:tr>
      <w:tr>
        <w:tc>
          <w:tcPr>
            <w:tcW w:type="dxa" w:w="3168"/>
            <w:shd w:fill="F4F6F9"/>
            <w:tcMar>
              <w:top w:w="60" w:type="dxa"/>
              <w:bottom w:w="60" w:type="dxa"/>
              <w:left w:w="100" w:type="dxa"/>
              <w:right w:w="100" w:type="dxa"/>
            </w:tcMar>
          </w:tcPr>
          <w:p>
            <w:pPr>
              <w:spacing w:after="0"/>
            </w:pPr>
            <w:r>
              <w:rPr>
                <w:rFonts w:ascii="Arial" w:hAnsi="Arial"/>
                <w:b/>
                <w:color w:val="222222"/>
                <w:sz w:val="18"/>
              </w:rPr>
              <w:t>Assessment Title</w:t>
            </w:r>
          </w:p>
        </w:tc>
        <w:tc>
          <w:tcPr>
            <w:tcW w:type="dxa" w:w="6192"/>
            <w:tcMar>
              <w:top w:w="60" w:type="dxa"/>
              <w:bottom w:w="60" w:type="dxa"/>
              <w:left w:w="100" w:type="dxa"/>
              <w:right w:w="100" w:type="dxa"/>
            </w:tcMar>
          </w:tcPr>
          <w:p>
            <w:pPr>
              <w:spacing w:after="0"/>
            </w:pPr>
            <w:r>
              <w:rPr>
                <w:rFonts w:ascii="Arial" w:hAnsi="Arial"/>
                <w:color w:val="222222"/>
                <w:sz w:val="18"/>
              </w:rPr>
              <w:t>Project (Group) - Uncontrolled Group (40% Weightage)</w:t>
            </w:r>
          </w:p>
        </w:tc>
      </w:tr>
      <w:tr>
        <w:tc>
          <w:tcPr>
            <w:tcW w:type="dxa" w:w="3168"/>
            <w:shd w:fill="F4F6F9"/>
            <w:tcMar>
              <w:top w:w="60" w:type="dxa"/>
              <w:bottom w:w="60" w:type="dxa"/>
              <w:left w:w="100" w:type="dxa"/>
              <w:right w:w="100" w:type="dxa"/>
            </w:tcMar>
          </w:tcPr>
          <w:p>
            <w:pPr>
              <w:spacing w:after="0"/>
            </w:pPr>
            <w:r>
              <w:rPr>
                <w:rFonts w:ascii="Arial" w:hAnsi="Arial"/>
                <w:b/>
                <w:color w:val="222222"/>
                <w:sz w:val="18"/>
              </w:rPr>
              <w:t>Academic Stream &amp; Group</w:t>
            </w:r>
          </w:p>
        </w:tc>
        <w:tc>
          <w:tcPr>
            <w:tcW w:type="dxa" w:w="6192"/>
            <w:tcMar>
              <w:top w:w="60" w:type="dxa"/>
              <w:bottom w:w="60" w:type="dxa"/>
              <w:left w:w="100" w:type="dxa"/>
              <w:right w:w="100" w:type="dxa"/>
            </w:tcMar>
          </w:tcPr>
          <w:p>
            <w:pPr>
              <w:spacing w:after="0"/>
            </w:pPr>
            <w:r>
              <w:rPr>
                <w:rFonts w:ascii="Arial" w:hAnsi="Arial"/>
                <w:color w:val="222222"/>
                <w:sz w:val="18"/>
              </w:rPr>
              <w:t>Stream 05 | Group 1</w:t>
            </w:r>
          </w:p>
        </w:tc>
      </w:tr>
      <w:tr>
        <w:tc>
          <w:tcPr>
            <w:tcW w:type="dxa" w:w="3168"/>
            <w:shd w:fill="F4F6F9"/>
            <w:tcMar>
              <w:top w:w="60" w:type="dxa"/>
              <w:bottom w:w="60" w:type="dxa"/>
              <w:left w:w="100" w:type="dxa"/>
              <w:right w:w="100" w:type="dxa"/>
            </w:tcMar>
          </w:tcPr>
          <w:p>
            <w:pPr>
              <w:spacing w:after="0"/>
            </w:pPr>
            <w:r>
              <w:rPr>
                <w:rFonts w:ascii="Arial" w:hAnsi="Arial"/>
                <w:b/>
                <w:color w:val="222222"/>
                <w:sz w:val="18"/>
              </w:rPr>
              <w:t>Due Date</w:t>
            </w:r>
          </w:p>
        </w:tc>
        <w:tc>
          <w:tcPr>
            <w:tcW w:type="dxa" w:w="6192"/>
            <w:tcMar>
              <w:top w:w="60" w:type="dxa"/>
              <w:bottom w:w="60" w:type="dxa"/>
              <w:left w:w="100" w:type="dxa"/>
              <w:right w:w="100" w:type="dxa"/>
            </w:tcMar>
          </w:tcPr>
          <w:p>
            <w:pPr>
              <w:spacing w:after="0"/>
            </w:pPr>
            <w:r>
              <w:rPr>
                <w:rFonts w:ascii="Arial" w:hAnsi="Arial"/>
                <w:color w:val="222222"/>
                <w:sz w:val="18"/>
              </w:rPr>
              <w:t>15-Dec-2026 (11:55 PM)</w:t>
            </w:r>
          </w:p>
        </w:tc>
      </w:tr>
      <w:tr>
        <w:tc>
          <w:tcPr>
            <w:tcW w:type="dxa" w:w="3168"/>
            <w:shd w:fill="F4F6F9"/>
            <w:tcMar>
              <w:top w:w="60" w:type="dxa"/>
              <w:bottom w:w="60" w:type="dxa"/>
              <w:left w:w="100" w:type="dxa"/>
              <w:right w:w="100" w:type="dxa"/>
            </w:tcMar>
          </w:tcPr>
          <w:p>
            <w:pPr>
              <w:spacing w:after="0"/>
            </w:pPr>
            <w:r>
              <w:rPr>
                <w:rFonts w:ascii="Arial" w:hAnsi="Arial"/>
                <w:b/>
                <w:color w:val="222222"/>
                <w:sz w:val="18"/>
              </w:rPr>
              <w:t>Learning Outcomes Assessed</w:t>
            </w:r>
          </w:p>
        </w:tc>
        <w:tc>
          <w:tcPr>
            <w:tcW w:type="dxa" w:w="6192"/>
            <w:tcMar>
              <w:top w:w="60" w:type="dxa"/>
              <w:bottom w:w="60" w:type="dxa"/>
              <w:left w:w="100" w:type="dxa"/>
              <w:right w:w="100" w:type="dxa"/>
            </w:tcMar>
          </w:tcPr>
          <w:p>
            <w:pPr>
              <w:spacing w:after="0"/>
            </w:pPr>
            <w:r>
              <w:rPr>
                <w:rFonts w:ascii="Arial" w:hAnsi="Arial"/>
                <w:color w:val="222222"/>
                <w:sz w:val="18"/>
              </w:rPr>
              <w:t>CILO 1 and CILO 2</w:t>
            </w:r>
          </w:p>
        </w:tc>
      </w:tr>
      <w:tr>
        <w:tc>
          <w:tcPr>
            <w:tcW w:type="dxa" w:w="3168"/>
            <w:shd w:fill="F4F6F9"/>
            <w:tcMar>
              <w:top w:w="60" w:type="dxa"/>
              <w:bottom w:w="60" w:type="dxa"/>
              <w:left w:w="100" w:type="dxa"/>
              <w:right w:w="100" w:type="dxa"/>
            </w:tcMar>
          </w:tcPr>
          <w:p>
            <w:pPr>
              <w:spacing w:after="0"/>
            </w:pPr>
            <w:r>
              <w:rPr>
                <w:rFonts w:ascii="Arial" w:hAnsi="Arial"/>
                <w:b/>
                <w:color w:val="222222"/>
                <w:sz w:val="18"/>
              </w:rPr>
              <w:t>Deliverable Archive</w:t>
            </w:r>
          </w:p>
        </w:tc>
        <w:tc>
          <w:tcPr>
            <w:tcW w:type="dxa" w:w="6192"/>
            <w:tcMar>
              <w:top w:w="60" w:type="dxa"/>
              <w:bottom w:w="60" w:type="dxa"/>
              <w:left w:w="100" w:type="dxa"/>
              <w:right w:w="100" w:type="dxa"/>
            </w:tcMar>
          </w:tcPr>
          <w:p>
            <w:pPr>
              <w:spacing w:after="0"/>
            </w:pPr>
            <w:r>
              <w:rPr>
                <w:rFonts w:ascii="Arial" w:hAnsi="Arial"/>
                <w:color w:val="222222"/>
                <w:sz w:val="18"/>
              </w:rPr>
              <w:t>05_202303596.zip (Executed .ipynb &amp; Report .docx)</w:t>
            </w:r>
          </w:p>
        </w:tc>
      </w:tr>
    </w:tbl>
    <w:p>
      <w:pPr>
        <w:spacing w:after="160"/>
      </w:pPr>
    </w:p>
    <w:p>
      <w:pPr>
        <w:spacing w:after="60"/>
      </w:pPr>
      <w:r>
        <w:rPr>
          <w:rFonts w:ascii="Arial" w:hAnsi="Arial"/>
          <w:b/>
          <w:color w:val="003366"/>
          <w:sz w:val="20"/>
        </w:rPr>
        <w:t>Project Group Membership &amp; Student Identification:</w:t>
      </w:r>
    </w:p>
    <w:tbl>
      <w:tblPr>
        <w:tblW w:type="auto" w:w="0"/>
        <w:jc w:val="center"/>
        <w:tblLook w:firstColumn="1" w:firstRow="1" w:lastColumn="0" w:lastRow="0" w:noHBand="0" w:noVBand="1" w:val="04A0"/>
      </w:tblPr>
      <w:tblGrid>
        <w:gridCol w:w="3120"/>
        <w:gridCol w:w="3120"/>
        <w:gridCol w:w="3120"/>
      </w:tblGrid>
      <w:tr>
        <w:tc>
          <w:tcPr>
            <w:tcW w:type="dxa" w:w="3120"/>
            <w:shd w:fill="003366"/>
            <w:tcMar>
              <w:top w:w="80" w:type="dxa"/>
              <w:bottom w:w="80" w:type="dxa"/>
              <w:left w:w="100" w:type="dxa"/>
              <w:right w:w="100" w:type="dxa"/>
            </w:tcMar>
          </w:tcPr>
          <w:p>
            <w:pPr>
              <w:spacing w:after="0"/>
            </w:pPr>
            <w:r>
              <w:rPr>
                <w:rFonts w:ascii="Arial" w:hAnsi="Arial"/>
                <w:b/>
                <w:color w:val="FFFFFF"/>
                <w:sz w:val="18"/>
              </w:rPr>
              <w:t>Student ID</w:t>
            </w:r>
          </w:p>
        </w:tc>
        <w:tc>
          <w:tcPr>
            <w:tcW w:type="dxa" w:w="3120"/>
            <w:shd w:fill="003366"/>
            <w:tcMar>
              <w:top w:w="80" w:type="dxa"/>
              <w:bottom w:w="80" w:type="dxa"/>
              <w:left w:w="100" w:type="dxa"/>
              <w:right w:w="100" w:type="dxa"/>
            </w:tcMar>
          </w:tcPr>
          <w:p>
            <w:pPr>
              <w:spacing w:after="0"/>
            </w:pPr>
            <w:r>
              <w:rPr>
                <w:rFonts w:ascii="Arial" w:hAnsi="Arial"/>
                <w:b/>
                <w:color w:val="FFFFFF"/>
                <w:sz w:val="18"/>
              </w:rPr>
              <w:t>Full Name</w:t>
            </w:r>
          </w:p>
        </w:tc>
        <w:tc>
          <w:tcPr>
            <w:tcW w:type="dxa" w:w="3120"/>
            <w:shd w:fill="003366"/>
            <w:tcMar>
              <w:top w:w="80" w:type="dxa"/>
              <w:bottom w:w="80" w:type="dxa"/>
              <w:left w:w="100" w:type="dxa"/>
              <w:right w:w="100" w:type="dxa"/>
            </w:tcMar>
          </w:tcPr>
          <w:p>
            <w:pPr>
              <w:spacing w:after="0"/>
            </w:pPr>
            <w:r>
              <w:rPr>
                <w:rFonts w:ascii="Arial" w:hAnsi="Arial"/>
                <w:b/>
                <w:color w:val="FFFFFF"/>
                <w:sz w:val="18"/>
              </w:rPr>
              <w:t>Project Role</w:t>
            </w:r>
          </w:p>
        </w:tc>
      </w:tr>
      <w:tr>
        <w:tc>
          <w:tcPr>
            <w:tcW w:type="dxa" w:w="3120"/>
            <w:shd w:fill="FFFFFF"/>
            <w:tcMar>
              <w:top w:w="60" w:type="dxa"/>
              <w:bottom w:w="60" w:type="dxa"/>
              <w:left w:w="100" w:type="dxa"/>
              <w:right w:w="100" w:type="dxa"/>
            </w:tcMar>
          </w:tcPr>
          <w:p>
            <w:pPr>
              <w:spacing w:after="0"/>
            </w:pPr>
            <w:r>
              <w:rPr>
                <w:rFonts w:ascii="Arial" w:hAnsi="Arial"/>
                <w:b/>
                <w:color w:val="222222"/>
                <w:sz w:val="17"/>
              </w:rPr>
              <w:t>202303596</w:t>
            </w:r>
          </w:p>
        </w:tc>
        <w:tc>
          <w:tcPr>
            <w:tcW w:type="dxa" w:w="3120"/>
            <w:shd w:fill="FFFFFF"/>
            <w:tcMar>
              <w:top w:w="60" w:type="dxa"/>
              <w:bottom w:w="60" w:type="dxa"/>
              <w:left w:w="100" w:type="dxa"/>
              <w:right w:w="100" w:type="dxa"/>
            </w:tcMar>
          </w:tcPr>
          <w:p>
            <w:pPr>
              <w:spacing w:after="0"/>
            </w:pPr>
            <w:r>
              <w:rPr>
                <w:rFonts w:ascii="Arial" w:hAnsi="Arial"/>
                <w:color w:val="222222"/>
                <w:sz w:val="17"/>
              </w:rPr>
              <w:t>Hasan Marhoon</w:t>
            </w:r>
          </w:p>
        </w:tc>
        <w:tc>
          <w:tcPr>
            <w:tcW w:type="dxa" w:w="3120"/>
            <w:shd w:fill="FFFFFF"/>
            <w:tcMar>
              <w:top w:w="60" w:type="dxa"/>
              <w:bottom w:w="60" w:type="dxa"/>
              <w:left w:w="100" w:type="dxa"/>
              <w:right w:w="100" w:type="dxa"/>
            </w:tcMar>
          </w:tcPr>
          <w:p>
            <w:pPr>
              <w:spacing w:after="0"/>
            </w:pPr>
            <w:r>
              <w:rPr>
                <w:rFonts w:ascii="Arial" w:hAnsi="Arial"/>
                <w:color w:val="222222"/>
                <w:sz w:val="17"/>
              </w:rPr>
              <w:t>Group Leader / Lead ML Engineer</w:t>
            </w:r>
          </w:p>
        </w:tc>
      </w:tr>
      <w:tr>
        <w:tc>
          <w:tcPr>
            <w:tcW w:type="dxa" w:w="3120"/>
            <w:shd w:fill="F9FAFC"/>
            <w:tcMar>
              <w:top w:w="60" w:type="dxa"/>
              <w:bottom w:w="60" w:type="dxa"/>
              <w:left w:w="100" w:type="dxa"/>
              <w:right w:w="100" w:type="dxa"/>
            </w:tcMar>
          </w:tcPr>
          <w:p>
            <w:pPr>
              <w:spacing w:after="0"/>
            </w:pPr>
            <w:r>
              <w:rPr>
                <w:rFonts w:ascii="Arial" w:hAnsi="Arial"/>
                <w:b/>
                <w:color w:val="222222"/>
                <w:sz w:val="17"/>
              </w:rPr>
              <w:t>202304831</w:t>
            </w:r>
          </w:p>
        </w:tc>
        <w:tc>
          <w:tcPr>
            <w:tcW w:type="dxa" w:w="3120"/>
            <w:shd w:fill="F9FAFC"/>
            <w:tcMar>
              <w:top w:w="60" w:type="dxa"/>
              <w:bottom w:w="60" w:type="dxa"/>
              <w:left w:w="100" w:type="dxa"/>
              <w:right w:w="100" w:type="dxa"/>
            </w:tcMar>
          </w:tcPr>
          <w:p>
            <w:pPr>
              <w:spacing w:after="0"/>
            </w:pPr>
            <w:r>
              <w:rPr>
                <w:rFonts w:ascii="Arial" w:hAnsi="Arial"/>
                <w:color w:val="222222"/>
                <w:sz w:val="17"/>
              </w:rPr>
              <w:t>Sayed Ali Almusawi</w:t>
            </w:r>
          </w:p>
        </w:tc>
        <w:tc>
          <w:tcPr>
            <w:tcW w:type="dxa" w:w="3120"/>
            <w:shd w:fill="F9FAFC"/>
            <w:tcMar>
              <w:top w:w="60" w:type="dxa"/>
              <w:bottom w:w="60" w:type="dxa"/>
              <w:left w:w="100" w:type="dxa"/>
              <w:right w:w="100" w:type="dxa"/>
            </w:tcMar>
          </w:tcPr>
          <w:p>
            <w:pPr>
              <w:spacing w:after="0"/>
            </w:pPr>
            <w:r>
              <w:rPr>
                <w:rFonts w:ascii="Arial" w:hAnsi="Arial"/>
                <w:color w:val="222222"/>
                <w:sz w:val="17"/>
              </w:rPr>
              <w:t>Data Preprocessing &amp; Feature Engineering</w:t>
            </w:r>
          </w:p>
        </w:tc>
      </w:tr>
      <w:tr>
        <w:tc>
          <w:tcPr>
            <w:tcW w:type="dxa" w:w="3120"/>
            <w:shd w:fill="FFFFFF"/>
            <w:tcMar>
              <w:top w:w="60" w:type="dxa"/>
              <w:bottom w:w="60" w:type="dxa"/>
              <w:left w:w="100" w:type="dxa"/>
              <w:right w:w="100" w:type="dxa"/>
            </w:tcMar>
          </w:tcPr>
          <w:p>
            <w:pPr>
              <w:spacing w:after="0"/>
            </w:pPr>
            <w:r>
              <w:rPr>
                <w:rFonts w:ascii="Arial" w:hAnsi="Arial"/>
                <w:b/>
                <w:color w:val="222222"/>
                <w:sz w:val="17"/>
              </w:rPr>
              <w:t>202304829</w:t>
            </w:r>
          </w:p>
        </w:tc>
        <w:tc>
          <w:tcPr>
            <w:tcW w:type="dxa" w:w="3120"/>
            <w:shd w:fill="FFFFFF"/>
            <w:tcMar>
              <w:top w:w="60" w:type="dxa"/>
              <w:bottom w:w="60" w:type="dxa"/>
              <w:left w:w="100" w:type="dxa"/>
              <w:right w:w="100" w:type="dxa"/>
            </w:tcMar>
          </w:tcPr>
          <w:p>
            <w:pPr>
              <w:spacing w:after="0"/>
            </w:pPr>
            <w:r>
              <w:rPr>
                <w:rFonts w:ascii="Arial" w:hAnsi="Arial"/>
                <w:color w:val="222222"/>
                <w:sz w:val="17"/>
              </w:rPr>
              <w:t>Hussain Ali</w:t>
            </w:r>
          </w:p>
        </w:tc>
        <w:tc>
          <w:tcPr>
            <w:tcW w:type="dxa" w:w="3120"/>
            <w:shd w:fill="FFFFFF"/>
            <w:tcMar>
              <w:top w:w="60" w:type="dxa"/>
              <w:bottom w:w="60" w:type="dxa"/>
              <w:left w:w="100" w:type="dxa"/>
              <w:right w:w="100" w:type="dxa"/>
            </w:tcMar>
          </w:tcPr>
          <w:p>
            <w:pPr>
              <w:spacing w:after="0"/>
            </w:pPr>
            <w:r>
              <w:rPr>
                <w:rFonts w:ascii="Arial" w:hAnsi="Arial"/>
                <w:color w:val="222222"/>
                <w:sz w:val="17"/>
              </w:rPr>
              <w:t>Time Series Modeling &amp; Forecaster</w:t>
            </w:r>
          </w:p>
        </w:tc>
      </w:tr>
      <w:tr>
        <w:tc>
          <w:tcPr>
            <w:tcW w:type="dxa" w:w="3120"/>
            <w:shd w:fill="F9FAFC"/>
            <w:tcMar>
              <w:top w:w="60" w:type="dxa"/>
              <w:bottom w:w="60" w:type="dxa"/>
              <w:left w:w="100" w:type="dxa"/>
              <w:right w:w="100" w:type="dxa"/>
            </w:tcMar>
          </w:tcPr>
          <w:p>
            <w:pPr>
              <w:spacing w:after="0"/>
            </w:pPr>
            <w:r>
              <w:rPr>
                <w:rFonts w:ascii="Arial" w:hAnsi="Arial"/>
                <w:b/>
                <w:color w:val="222222"/>
                <w:sz w:val="17"/>
              </w:rPr>
              <w:t>202305013</w:t>
            </w:r>
          </w:p>
        </w:tc>
        <w:tc>
          <w:tcPr>
            <w:tcW w:type="dxa" w:w="3120"/>
            <w:shd w:fill="F9FAFC"/>
            <w:tcMar>
              <w:top w:w="60" w:type="dxa"/>
              <w:bottom w:w="60" w:type="dxa"/>
              <w:left w:w="100" w:type="dxa"/>
              <w:right w:w="100" w:type="dxa"/>
            </w:tcMar>
          </w:tcPr>
          <w:p>
            <w:pPr>
              <w:spacing w:after="0"/>
            </w:pPr>
            <w:r>
              <w:rPr>
                <w:rFonts w:ascii="Arial" w:hAnsi="Arial"/>
                <w:color w:val="222222"/>
                <w:sz w:val="17"/>
              </w:rPr>
              <w:t>Sayed Sadeq</w:t>
            </w:r>
          </w:p>
        </w:tc>
        <w:tc>
          <w:tcPr>
            <w:tcW w:type="dxa" w:w="3120"/>
            <w:shd w:fill="F9FAFC"/>
            <w:tcMar>
              <w:top w:w="60" w:type="dxa"/>
              <w:bottom w:w="60" w:type="dxa"/>
              <w:left w:w="100" w:type="dxa"/>
              <w:right w:w="100" w:type="dxa"/>
            </w:tcMar>
          </w:tcPr>
          <w:p>
            <w:pPr>
              <w:spacing w:after="0"/>
            </w:pPr>
            <w:r>
              <w:rPr>
                <w:rFonts w:ascii="Arial" w:hAnsi="Arial"/>
                <w:color w:val="222222"/>
                <w:sz w:val="17"/>
              </w:rPr>
              <w:t>Classification Modeling &amp; Imbalance Tuning</w:t>
            </w:r>
          </w:p>
        </w:tc>
      </w:tr>
      <w:tr>
        <w:tc>
          <w:tcPr>
            <w:tcW w:type="dxa" w:w="3120"/>
            <w:shd w:fill="FFFFFF"/>
            <w:tcMar>
              <w:top w:w="60" w:type="dxa"/>
              <w:bottom w:w="60" w:type="dxa"/>
              <w:left w:w="100" w:type="dxa"/>
              <w:right w:w="100" w:type="dxa"/>
            </w:tcMar>
          </w:tcPr>
          <w:p>
            <w:pPr>
              <w:spacing w:after="0"/>
            </w:pPr>
            <w:r>
              <w:rPr>
                <w:rFonts w:ascii="Arial" w:hAnsi="Arial"/>
                <w:b/>
                <w:color w:val="222222"/>
                <w:sz w:val="17"/>
              </w:rPr>
              <w:t>202304419</w:t>
            </w:r>
          </w:p>
        </w:tc>
        <w:tc>
          <w:tcPr>
            <w:tcW w:type="dxa" w:w="3120"/>
            <w:shd w:fill="FFFFFF"/>
            <w:tcMar>
              <w:top w:w="60" w:type="dxa"/>
              <w:bottom w:w="60" w:type="dxa"/>
              <w:left w:w="100" w:type="dxa"/>
              <w:right w:w="100" w:type="dxa"/>
            </w:tcMar>
          </w:tcPr>
          <w:p>
            <w:pPr>
              <w:spacing w:after="0"/>
            </w:pPr>
            <w:r>
              <w:rPr>
                <w:rFonts w:ascii="Arial" w:hAnsi="Arial"/>
                <w:color w:val="222222"/>
                <w:sz w:val="17"/>
              </w:rPr>
              <w:t>Ali Yusuf</w:t>
            </w:r>
          </w:p>
        </w:tc>
        <w:tc>
          <w:tcPr>
            <w:tcW w:type="dxa" w:w="3120"/>
            <w:shd w:fill="FFFFFF"/>
            <w:tcMar>
              <w:top w:w="60" w:type="dxa"/>
              <w:bottom w:w="60" w:type="dxa"/>
              <w:left w:w="100" w:type="dxa"/>
              <w:right w:w="100" w:type="dxa"/>
            </w:tcMar>
          </w:tcPr>
          <w:p>
            <w:pPr>
              <w:spacing w:after="0"/>
            </w:pPr>
            <w:r>
              <w:rPr>
                <w:rFonts w:ascii="Arial" w:hAnsi="Arial"/>
                <w:color w:val="222222"/>
                <w:sz w:val="17"/>
              </w:rPr>
              <w:t>Regression Modeling &amp; Evaluation Analysis</w:t>
            </w:r>
          </w:p>
        </w:tc>
      </w:tr>
    </w:tbl>
    <w:p>
      <w:pPr>
        <w:spacing w:after="160"/>
      </w:pPr>
    </w:p>
    <w:tbl>
      <w:tblPr>
        <w:tblW w:type="auto" w:w="0"/>
        <w:jc w:val="center"/>
        <w:tblLook w:firstColumn="1" w:firstRow="1" w:lastColumn="0" w:lastRow="0" w:noHBand="0" w:noVBand="1" w:val="04A0"/>
      </w:tblPr>
      <w:tblGrid>
        <w:gridCol w:w="9360"/>
      </w:tblGrid>
      <w:tr>
        <w:tc>
          <w:tcPr>
            <w:tcW w:type="dxa" w:w="9360"/>
            <w:shd w:fill="F4F6F9"/>
            <w:tcMar>
              <w:top w:w="120" w:type="dxa"/>
              <w:bottom w:w="120" w:type="dxa"/>
              <w:left w:w="180" w:type="dxa"/>
              <w:right w:w="180" w:type="dxa"/>
            </w:tcMar>
          </w:tcPr>
          <w:p>
            <w:pPr>
              <w:spacing w:after="0" w:line="276" w:lineRule="auto"/>
            </w:pPr>
            <w:r>
              <w:rPr>
                <w:rFonts w:ascii="Arial" w:hAnsi="Arial"/>
                <w:b/>
                <w:color w:val="003366"/>
                <w:sz w:val="20"/>
              </w:rPr>
              <w:t xml:space="preserve">Learner Affirmation &amp; Academic Integrity Statement: </w:t>
            </w:r>
            <w:r>
              <w:rPr>
                <w:rFonts w:ascii="Arial" w:hAnsi="Arial"/>
                <w:i/>
                <w:color w:val="222222"/>
                <w:sz w:val="19"/>
              </w:rPr>
              <w:t>By submitting this assessment for marking, I affirm that this assessment is my own group's work, that all research sources and references consulted have been properly acknowledged and cited, and that all guidelines regarding academic integrity have been strictly observed.</w:t>
            </w:r>
          </w:p>
        </w:tc>
      </w:tr>
    </w:tbl>
    <w:p>
      <w:pPr>
        <w:spacing w:after="60"/>
      </w:pPr>
    </w:p>
    <w:tbl>
      <w:tblPr>
        <w:tblW w:type="auto" w:w="0"/>
        <w:jc w:val="center"/>
        <w:tblLook w:firstColumn="1" w:firstRow="1" w:lastColumn="0" w:lastRow="0" w:noHBand="0" w:noVBand="1" w:val="04A0"/>
      </w:tblPr>
      <w:tblGrid>
        <w:gridCol w:w="3120"/>
        <w:gridCol w:w="3120"/>
        <w:gridCol w:w="3120"/>
      </w:tblGrid>
      <w:tr>
        <w:tc>
          <w:tcPr>
            <w:tcW w:type="dxa" w:w="3120"/>
            <w:shd w:fill="F4F6F9"/>
            <w:tcMar>
              <w:top w:w="60" w:type="dxa"/>
              <w:bottom w:w="60" w:type="dxa"/>
              <w:left w:w="80" w:type="dxa"/>
              <w:right w:w="80" w:type="dxa"/>
            </w:tcMar>
          </w:tcPr>
          <w:p>
            <w:pPr>
              <w:spacing w:after="0"/>
            </w:pPr>
            <w:r>
              <w:rPr>
                <w:rFonts w:ascii="Arial" w:hAnsi="Arial"/>
                <w:b/>
                <w:color w:val="222222"/>
                <w:sz w:val="17"/>
              </w:rPr>
              <w:t>Assessor Name</w:t>
            </w:r>
          </w:p>
        </w:tc>
        <w:tc>
          <w:tcPr>
            <w:tcW w:type="dxa" w:w="3120"/>
            <w:shd w:fill="F4F6F9"/>
            <w:tcMar>
              <w:top w:w="60" w:type="dxa"/>
              <w:bottom w:w="60" w:type="dxa"/>
              <w:left w:w="80" w:type="dxa"/>
              <w:right w:w="80" w:type="dxa"/>
            </w:tcMar>
          </w:tcPr>
          <w:p>
            <w:pPr>
              <w:spacing w:after="0"/>
            </w:pPr>
            <w:r>
              <w:rPr>
                <w:rFonts w:ascii="Arial" w:hAnsi="Arial"/>
                <w:b/>
                <w:color w:val="222222"/>
                <w:sz w:val="17"/>
              </w:rPr>
              <w:t>Marking Date</w:t>
            </w:r>
          </w:p>
        </w:tc>
        <w:tc>
          <w:tcPr>
            <w:tcW w:type="dxa" w:w="3120"/>
            <w:shd w:fill="F4F6F9"/>
            <w:tcMar>
              <w:top w:w="60" w:type="dxa"/>
              <w:bottom w:w="60" w:type="dxa"/>
              <w:left w:w="80" w:type="dxa"/>
              <w:right w:w="80" w:type="dxa"/>
            </w:tcMar>
          </w:tcPr>
          <w:p>
            <w:pPr>
              <w:spacing w:after="0"/>
            </w:pPr>
            <w:r>
              <w:rPr>
                <w:rFonts w:ascii="Arial" w:hAnsi="Arial"/>
                <w:b/>
                <w:color w:val="222222"/>
                <w:sz w:val="17"/>
              </w:rPr>
              <w:t>Marks Obtained (out of 40%)</w:t>
            </w:r>
          </w:p>
        </w:tc>
      </w:tr>
      <w:tr>
        <w:tc>
          <w:tcPr>
            <w:tcW w:type="dxa" w:w="3120"/>
            <w:tcMar>
              <w:top w:w="120" w:type="dxa"/>
              <w:bottom w:w="120" w:type="dxa"/>
              <w:left w:w="80" w:type="dxa"/>
              <w:right w:w="80" w:type="dxa"/>
            </w:tcMar>
          </w:tcPr>
          <w:p>
            <w:pPr>
              <w:spacing w:after="0"/>
            </w:pPr>
            <w:r>
              <w:rPr>
                <w:rFonts w:ascii="Arial" w:hAnsi="Arial"/>
                <w:i/>
                <w:color w:val="646E78"/>
                <w:sz w:val="16"/>
              </w:rPr>
              <w:t>[ Official Assessor Mark / Feedback ]</w:t>
            </w:r>
          </w:p>
        </w:tc>
        <w:tc>
          <w:tcPr>
            <w:tcW w:type="dxa" w:w="3120"/>
            <w:tcMar>
              <w:top w:w="120" w:type="dxa"/>
              <w:bottom w:w="120" w:type="dxa"/>
              <w:left w:w="80" w:type="dxa"/>
              <w:right w:w="80" w:type="dxa"/>
            </w:tcMar>
          </w:tcPr>
          <w:p>
            <w:pPr>
              <w:spacing w:after="0"/>
            </w:pPr>
            <w:r>
              <w:rPr>
                <w:rFonts w:ascii="Arial" w:hAnsi="Arial"/>
                <w:i/>
                <w:color w:val="646E78"/>
                <w:sz w:val="16"/>
              </w:rPr>
              <w:t>[ Official Assessor Mark / Feedback ]</w:t>
            </w:r>
          </w:p>
        </w:tc>
        <w:tc>
          <w:tcPr>
            <w:tcW w:type="dxa" w:w="3120"/>
            <w:tcMar>
              <w:top w:w="120" w:type="dxa"/>
              <w:bottom w:w="120" w:type="dxa"/>
              <w:left w:w="80" w:type="dxa"/>
              <w:right w:w="80" w:type="dxa"/>
            </w:tcMar>
          </w:tcPr>
          <w:p>
            <w:pPr>
              <w:spacing w:after="0"/>
            </w:pPr>
            <w:r>
              <w:rPr>
                <w:rFonts w:ascii="Arial" w:hAnsi="Arial"/>
                <w:i/>
                <w:color w:val="646E78"/>
                <w:sz w:val="16"/>
              </w:rPr>
              <w:t>[ Official Assessor Mark / Feedback ]</w:t>
            </w:r>
          </w:p>
        </w:tc>
      </w:tr>
    </w:tbl>
    <w:p>
      <w:r>
        <w:br w:type="page"/>
      </w:r>
    </w:p>
    <w:p>
      <w:pPr>
        <w:keepNext/>
        <w:spacing w:before="360" w:after="120"/>
      </w:pPr>
      <w:r>
        <w:rPr>
          <w:rFonts w:ascii="Arial" w:hAnsi="Arial"/>
          <w:b/>
          <w:color w:val="003366"/>
          <w:sz w:val="30"/>
        </w:rPr>
        <w:t>Executive Summary</w:t>
      </w:r>
    </w:p>
    <w:p>
      <w:pPr>
        <w:spacing w:after="100" w:line="276" w:lineRule="auto"/>
      </w:pPr>
      <w:r>
        <w:rPr>
          <w:rFonts w:ascii="Arial" w:hAnsi="Arial"/>
          <w:color w:val="222222"/>
          <w:sz w:val="20"/>
        </w:rPr>
        <w:t>In modern higher education institutions, expanding student enrollments and diverse learning pathways create significant challenges for academic advisors monitoring student progress. This study constructs an end-to-end intelligent performance analysis pipeline based on 154,314 institutional enrollment records across eight academic semesters (2020Spring through 2023Fall). The methodology enforces strict data leakage prevention by establishing a chronological evaluation scheme (Semesters 1–6 Train, Semesters 7–8 Test), fitting all preprocessing pipelines exclusively on the training split, preserving unobserved final exam outcomes without synthetic imputation, and completely excluding numeric_grade to prevent circular target leakage.</w:t>
      </w:r>
    </w:p>
    <w:p>
      <w:pPr>
        <w:spacing w:after="100" w:line="276" w:lineRule="auto"/>
      </w:pPr>
      <w:r>
        <w:rPr>
          <w:rFonts w:ascii="Arial" w:hAnsi="Arial"/>
          <w:color w:val="222222"/>
          <w:sz w:val="20"/>
        </w:rPr>
        <w:t>Key empirical findings include: (1) Outlier auditing eliminated 780 corrupted synthetic 'ERR' records (negative and &gt;100 numerical grades) and winsorized 762 invalid GPA entries. (2) For final exam regression, regularized Ridge Regression achieved the lowest test error (RMSE = 8.0510, R² = 0.3885), performing on par with or slightly outperforming complex gradient boosted trees due to predominantly linear-additive signals in primary continuous predictors (homework and prior GPA). (3) For multi-class grade classification (A through F), unweighted models achieved superficial accuracy (34.1%) but failed completely on minority failing students (0.0% recall on Grade F); cost-sensitive balanced weighting elevated Grade F recall to 41.8%–42.5% (Macro F1 = 0.3084), providing genuine early-warning capability. (4) Longitudinal forecasting for Student #2 demonstrated that simple naive persistence (RMSE = 5.3267) outperformed ARIMA(1,0,0) (RMSE = 6.4736) and Exponential Smoothing (RMSE = 5.9621) due to parameter estimation uncertainty on small sample sizes (N=6). The resulting models provide institutional stakeholders with transparent, grounded decision-support tools.</w:t>
      </w:r>
    </w:p>
    <w:p>
      <w:pPr>
        <w:keepNext/>
        <w:spacing w:before="360" w:after="120"/>
      </w:pPr>
      <w:r>
        <w:rPr>
          <w:rFonts w:ascii="Arial" w:hAnsi="Arial"/>
          <w:b/>
          <w:color w:val="003366"/>
          <w:sz w:val="30"/>
        </w:rPr>
        <w:t>Section a: Problem Explanation &amp; Relevance in Higher Education</w:t>
      </w:r>
    </w:p>
    <w:p>
      <w:pPr>
        <w:spacing w:after="100" w:line="276" w:lineRule="auto"/>
      </w:pPr>
      <w:r>
        <w:rPr>
          <w:rFonts w:ascii="Arial" w:hAnsi="Arial"/>
          <w:color w:val="222222"/>
          <w:sz w:val="20"/>
        </w:rPr>
        <w:t>Universities generate extensive longitudinal data across multiple semesters and courses. However, academic advisors cannot manually monitor thousands of student records to detect poor performance trends. Educational literature demonstrates that early academic intervention during the first half of a semester significantly reduces course withdrawal rates and academic dismissal [1], [2]. This project simulates real-world educational operations at Bahrain Polytechnic by developing a machine learning pipeline that examines structured student data to identify achievement patterns and predict final examination scores and letter grades.</w:t>
      </w:r>
    </w:p>
    <w:p>
      <w:pPr>
        <w:keepNext/>
        <w:spacing w:before="360" w:after="120"/>
      </w:pPr>
      <w:r>
        <w:rPr>
          <w:rFonts w:ascii="Arial" w:hAnsi="Arial"/>
          <w:b/>
          <w:color w:val="003366"/>
          <w:sz w:val="30"/>
        </w:rPr>
        <w:t>Section b: Project Objectives &amp; AI Architecture</w:t>
      </w:r>
    </w:p>
    <w:p>
      <w:pPr>
        <w:spacing w:after="100" w:line="276" w:lineRule="auto"/>
      </w:pPr>
      <w:r>
        <w:rPr>
          <w:rFonts w:ascii="Arial" w:hAnsi="Arial"/>
          <w:color w:val="222222"/>
          <w:sz w:val="20"/>
        </w:rPr>
        <w:t>The pipeline fulfills all core milestones outlined in the IT7103 specification under rigorous methodological safeguards:</w:t>
      </w:r>
    </w:p>
    <w:p>
      <w:pPr>
        <w:spacing w:after="100" w:line="276" w:lineRule="auto"/>
      </w:pPr>
      <w:r>
        <w:rPr>
          <w:rFonts w:ascii="Arial" w:hAnsi="Arial"/>
          <w:color w:val="222222"/>
          <w:sz w:val="20"/>
        </w:rPr>
        <w:t>1. Basic Data Cleaning &amp; Outlier Handling: Detect and remove corrupted records ('ERR' grades), winsorize sensor errors in prior_gpa, cap extreme study_hours, and preserve missing final_exam values without imputation.</w:t>
      </w:r>
    </w:p>
    <w:p>
      <w:pPr>
        <w:spacing w:after="100" w:line="276" w:lineRule="auto"/>
      </w:pPr>
      <w:r>
        <w:rPr>
          <w:rFonts w:ascii="Arial" w:hAnsi="Arial"/>
          <w:color w:val="222222"/>
          <w:sz w:val="20"/>
        </w:rPr>
        <w:t>2. Advanced Preprocessing &amp; Feature Engineering: Construct continuous student-semester sequences and generate strictly past-only lag features and 2-semester rolling statistics.</w:t>
      </w:r>
    </w:p>
    <w:p>
      <w:pPr>
        <w:spacing w:after="100" w:line="276" w:lineRule="auto"/>
      </w:pPr>
      <w:r>
        <w:rPr>
          <w:rFonts w:ascii="Arial" w:hAnsi="Arial"/>
          <w:color w:val="222222"/>
          <w:sz w:val="20"/>
        </w:rPr>
        <w:t>3. Correlation &amp; Cohort Analysis: Evaluate bivariate relationships between features and targets, analyzing university-wide stability across 8 semesters.</w:t>
      </w:r>
    </w:p>
    <w:p>
      <w:pPr>
        <w:spacing w:after="100" w:line="276" w:lineRule="auto"/>
      </w:pPr>
      <w:r>
        <w:rPr>
          <w:rFonts w:ascii="Arial" w:hAnsi="Arial"/>
          <w:color w:val="222222"/>
          <w:sz w:val="20"/>
        </w:rPr>
        <w:t>4. Regression Modeling for Final Exam Prediction: Train Ridge, Decision Tree, Random Forest, LightGBM, XGBoost, and Voting Ensembles evaluated on chronological test semesters using observed targets only.</w:t>
      </w:r>
    </w:p>
    <w:p>
      <w:pPr>
        <w:spacing w:after="100" w:line="276" w:lineRule="auto"/>
      </w:pPr>
      <w:r>
        <w:rPr>
          <w:rFonts w:ascii="Arial" w:hAnsi="Arial"/>
          <w:color w:val="222222"/>
          <w:sz w:val="20"/>
        </w:rPr>
        <w:t>5. Multi-Class Classification for Grade Prediction: Predict discrete grades (A to F) with strict data leakage avoidance and side-by-side unweighted vs. balanced model comparisons.</w:t>
      </w:r>
    </w:p>
    <w:p>
      <w:pPr>
        <w:spacing w:after="100" w:line="276" w:lineRule="auto"/>
      </w:pPr>
      <w:r>
        <w:rPr>
          <w:rFonts w:ascii="Arial" w:hAnsi="Arial"/>
          <w:color w:val="222222"/>
          <w:sz w:val="20"/>
        </w:rPr>
        <w:t>6. Student Time Series Forecasting: Longitudinal tracking of Student #2 over 8 semesters, benchmarking Exponential Smoothing, ARIMA(1,0,0), and Naive persistence under low-N constraints.</w:t>
      </w:r>
    </w:p>
    <w:p>
      <w:pPr>
        <w:spacing w:after="100" w:line="276" w:lineRule="auto"/>
      </w:pPr>
      <w:r>
        <w:rPr>
          <w:rFonts w:ascii="Arial" w:hAnsi="Arial"/>
          <w:color w:val="222222"/>
          <w:sz w:val="20"/>
        </w:rPr>
        <w:t>7. Hyperparameter Optimization: Dual tuning of regression (via TimeSeriesSplit) and classification (via Stratified K-Fold).</w:t>
      </w:r>
    </w:p>
    <w:p>
      <w:pPr>
        <w:spacing w:after="100" w:line="276" w:lineRule="auto"/>
      </w:pPr>
      <w:r>
        <w:rPr>
          <w:rFonts w:ascii="Arial" w:hAnsi="Arial"/>
          <w:color w:val="222222"/>
          <w:sz w:val="20"/>
        </w:rPr>
        <w:t>8. Explainability: Transparent comparison of Split Importance versus Gain Importance.</w:t>
      </w:r>
    </w:p>
    <w:p>
      <w:pPr>
        <w:keepNext/>
        <w:spacing w:before="360" w:after="120"/>
      </w:pPr>
      <w:r>
        <w:rPr>
          <w:rFonts w:ascii="Arial" w:hAnsi="Arial"/>
          <w:b/>
          <w:color w:val="003366"/>
          <w:sz w:val="30"/>
        </w:rPr>
        <w:t>Section c: Dataset Description, Data Quality Assessment &amp; Feature Engineering</w:t>
      </w:r>
    </w:p>
    <w:p>
      <w:pPr>
        <w:spacing w:after="100" w:line="276" w:lineRule="auto"/>
      </w:pPr>
      <w:r>
        <w:rPr>
          <w:rFonts w:ascii="Arial" w:hAnsi="Arial"/>
          <w:color w:val="222222"/>
          <w:sz w:val="20"/>
        </w:rPr>
        <w:t>The dataset contains 154,314 student-course enrollment records across 20 attributes. Diagnostics revealed three critical anomaly patterns:</w:t>
      </w:r>
    </w:p>
    <w:p>
      <w:pPr>
        <w:spacing w:after="100" w:line="276" w:lineRule="auto"/>
      </w:pPr>
      <w:r>
        <w:rPr>
          <w:rFonts w:ascii="Arial" w:hAnsi="Arial"/>
          <w:color w:val="222222"/>
          <w:sz w:val="20"/>
        </w:rPr>
        <w:t>• Corrupted 'ERR' Records: Exactly 780 records had grade_letter == 'ERR' and impossible numerical grades (-10.0 to -0.01 and 100.01 to 110.0). These represent corrupted synthetic noise and were pruned, leaving 153,534 records.</w:t>
      </w:r>
    </w:p>
    <w:p>
      <w:pPr>
        <w:spacing w:after="100" w:line="276" w:lineRule="auto"/>
      </w:pPr>
      <w:r>
        <w:rPr>
          <w:rFonts w:ascii="Arial" w:hAnsi="Arial"/>
          <w:color w:val="222222"/>
          <w:sz w:val="20"/>
        </w:rPr>
        <w:t>• Invalid Prior GPA: 762 records had sentinel values outside the legitimate [0.0, 4.0] scale (-1.0 and 5.0). These were winsorized to [0.0, 4.0].</w:t>
      </w:r>
    </w:p>
    <w:p>
      <w:pPr>
        <w:spacing w:after="100" w:line="276" w:lineRule="auto"/>
      </w:pPr>
      <w:r>
        <w:rPr>
          <w:rFonts w:ascii="Arial" w:hAnsi="Arial"/>
          <w:color w:val="222222"/>
          <w:sz w:val="20"/>
        </w:rPr>
        <w:t>• Extreme Weekly Study Hours: 1419 records showed weekly study hours between 60.0 and 119.9 hours. These were capped at 60.0 hours/week.</w:t>
      </w:r>
    </w:p>
    <w:p>
      <w:pPr>
        <w:spacing w:after="100" w:line="276" w:lineRule="auto"/>
      </w:pPr>
      <w:r>
        <w:rPr>
          <w:rFonts w:ascii="Arial" w:hAnsi="Arial"/>
          <w:color w:val="222222"/>
          <w:sz w:val="20"/>
        </w:rPr>
        <w:t>• Preserving Observed Targets (No Target Imputation): Out of 153,534 cleaned records, exactly 142,825 records have observed final_exam values, while 10,709 are missing (~7.0%). In strict compliance with sound statistical methodology, missing targets were NEVER imputed. Regression models were trained and evaluated exclusively on observed targets.</w:t>
      </w:r>
    </w:p>
    <w:p>
      <w:pPr>
        <w:keepNext/>
        <w:spacing w:before="260" w:after="80"/>
      </w:pPr>
      <w:r>
        <w:rPr>
          <w:rFonts w:ascii="Arial" w:hAnsi="Arial"/>
          <w:b/>
          <w:color w:val="4A607A"/>
          <w:sz w:val="24"/>
        </w:rPr>
        <w:t>c.1 Continuous Temporal Sequences &amp; Past-Only Features</w:t>
      </w:r>
    </w:p>
    <w:p>
      <w:pPr>
        <w:spacing w:after="100" w:line="276" w:lineRule="auto"/>
      </w:pPr>
      <w:r>
        <w:rPr>
          <w:rFonts w:ascii="Arial" w:hAnsi="Arial"/>
          <w:color w:val="222222"/>
          <w:sz w:val="20"/>
        </w:rPr>
        <w:t>To support temporal modeling, records were organized into a complete student-by-semester grid across all eight semesters (2020Spring through 2023Fall). Student semester averages were computed exclusively from observed values. Strictly past-only lag features (final_exam_prev_semester, homework_avg_prev_semester, attendance_prev_semester) and 2-semester rolling means were extracted over past semesters {t-2, t-1}, strictly excluding current semester t to prevent temporal leakage.</w:t>
      </w:r>
    </w:p>
    <w:p>
      <w:pPr>
        <w:spacing w:before="160" w:after="60"/>
        <w:jc w:val="center"/>
      </w:pPr>
      <w:r>
        <w:drawing>
          <wp:inline xmlns:a="http://schemas.openxmlformats.org/drawingml/2006/main" xmlns:pic="http://schemas.openxmlformats.org/drawingml/2006/picture">
            <wp:extent cx="5303520" cy="4242816"/>
            <wp:docPr id="1" name="Picture 1"/>
            <wp:cNvGraphicFramePr>
              <a:graphicFrameLocks noChangeAspect="1"/>
            </wp:cNvGraphicFramePr>
            <a:graphic>
              <a:graphicData uri="http://schemas.openxmlformats.org/drawingml/2006/picture">
                <pic:pic>
                  <pic:nvPicPr>
                    <pic:cNvPr id="0" name="fig2_correlation_matrix.png"/>
                    <pic:cNvPicPr/>
                  </pic:nvPicPr>
                  <pic:blipFill>
                    <a:blip r:embed="rId9"/>
                    <a:stretch>
                      <a:fillRect/>
                    </a:stretch>
                  </pic:blipFill>
                  <pic:spPr>
                    <a:xfrm>
                      <a:off x="0" y="0"/>
                      <a:ext cx="5303520" cy="4242816"/>
                    </a:xfrm>
                    <a:prstGeom prst="rect"/>
                  </pic:spPr>
                </pic:pic>
              </a:graphicData>
            </a:graphic>
          </wp:inline>
        </w:drawing>
      </w:r>
    </w:p>
    <w:p>
      <w:pPr>
        <w:spacing w:after="200"/>
        <w:jc w:val="center"/>
      </w:pPr>
      <w:r>
        <w:rPr>
          <w:rFonts w:ascii="Arial" w:hAnsi="Arial"/>
          <w:b/>
          <w:color w:val="646E78"/>
          <w:sz w:val="18"/>
        </w:rPr>
        <w:t>Figure 1: Pearson Correlation Matrix of Engineered Academic Features and Outcomes</w:t>
      </w:r>
    </w:p>
    <w:p>
      <w:pPr>
        <w:keepNext/>
        <w:spacing w:before="360" w:after="120"/>
      </w:pPr>
      <w:r>
        <w:rPr>
          <w:rFonts w:ascii="Arial" w:hAnsi="Arial"/>
          <w:b/>
          <w:color w:val="003366"/>
          <w:sz w:val="30"/>
        </w:rPr>
        <w:t>Section d: Machine Learning Methodology &amp; Technical Rationale</w:t>
      </w:r>
    </w:p>
    <w:tbl>
      <w:tblPr>
        <w:tblW w:type="auto" w:w="0"/>
        <w:jc w:val="center"/>
        <w:tblLook w:firstColumn="1" w:firstRow="1" w:lastColumn="0" w:lastRow="0" w:noHBand="0" w:noVBand="1" w:val="04A0"/>
      </w:tblPr>
      <w:tblGrid>
        <w:gridCol w:w="9360"/>
      </w:tblGrid>
      <w:tr>
        <w:tc>
          <w:tcPr>
            <w:tcW w:type="dxa" w:w="9360"/>
            <w:shd w:fill="F4F6F9"/>
            <w:tcMar>
              <w:top w:w="120" w:type="dxa"/>
              <w:bottom w:w="120" w:type="dxa"/>
              <w:left w:w="180" w:type="dxa"/>
              <w:right w:w="180" w:type="dxa"/>
            </w:tcMar>
          </w:tcPr>
          <w:p>
            <w:pPr>
              <w:spacing w:after="0" w:line="276" w:lineRule="auto"/>
            </w:pPr>
            <w:r>
              <w:rPr>
                <w:rFonts w:ascii="Arial" w:hAnsi="Arial"/>
                <w:b/>
                <w:color w:val="003366"/>
                <w:sz w:val="20"/>
              </w:rPr>
              <w:t xml:space="preserve">Data Leakage Safeguard Declaration: </w:t>
            </w:r>
            <w:r>
              <w:rPr>
                <w:rFonts w:ascii="Arial" w:hAnsi="Arial"/>
                <w:i/>
                <w:color w:val="222222"/>
                <w:sz w:val="19"/>
              </w:rPr>
              <w:t>STRICT DATA LEAKAGE PREVENTION: The dataset was partitioned chronologically BEFORE fitting any preprocessing transformer. Training was restricted to historical Semesters 1–6 (115,109 rows); Testing was held out on future Semesters 7 &amp; 8 (38,425 rows). All imputers, scalers, and one-hot encoders were fitted strictly on the Training set. Furthermore, numeric_grade was completely removed from feature matrices.</w:t>
            </w:r>
          </w:p>
        </w:tc>
      </w:tr>
    </w:tbl>
    <w:p>
      <w:pPr>
        <w:spacing w:after="60"/>
      </w:pPr>
    </w:p>
    <w:p>
      <w:pPr>
        <w:keepNext/>
        <w:spacing w:before="260" w:after="80"/>
      </w:pPr>
      <w:r>
        <w:rPr>
          <w:rFonts w:ascii="Arial" w:hAnsi="Arial"/>
          <w:b/>
          <w:color w:val="4A607A"/>
          <w:sz w:val="24"/>
        </w:rPr>
        <w:t>d.1 Regression Formulation &amp; Ablation Study</w:t>
      </w:r>
    </w:p>
    <w:p>
      <w:pPr>
        <w:spacing w:after="100" w:line="276" w:lineRule="auto"/>
      </w:pPr>
      <w:r>
        <w:rPr>
          <w:rFonts w:ascii="Arial" w:hAnsi="Arial"/>
          <w:color w:val="222222"/>
          <w:sz w:val="20"/>
        </w:rPr>
        <w:t>Predicting continuous final_exam scores was evaluated on 35,714 observed test records. To test whether engineered temporal lag features provide empirical predictive lift, an ablation experiment was conducted comparing raw baseline features against full engineered features (Table 1).</w:t>
      </w:r>
    </w:p>
    <w:tbl>
      <w:tblPr>
        <w:tblW w:type="auto" w:w="0"/>
        <w:jc w:val="center"/>
        <w:tblLook w:firstColumn="1" w:firstRow="1" w:lastColumn="0" w:lastRow="0" w:noHBand="0" w:noVBand="1" w:val="04A0"/>
      </w:tblPr>
      <w:tblGrid>
        <w:gridCol w:w="2340"/>
        <w:gridCol w:w="2340"/>
        <w:gridCol w:w="2340"/>
        <w:gridCol w:w="2340"/>
      </w:tblGrid>
      <w:tr>
        <w:tc>
          <w:tcPr>
            <w:tcW w:type="dxa" w:w="2340"/>
            <w:shd w:fill="003366"/>
            <w:tcMar>
              <w:top w:w="60" w:type="dxa"/>
              <w:bottom w:w="60" w:type="dxa"/>
              <w:left w:w="80" w:type="dxa"/>
              <w:right w:w="80" w:type="dxa"/>
            </w:tcMar>
          </w:tcPr>
          <w:p>
            <w:pPr>
              <w:spacing w:after="0"/>
            </w:pPr>
            <w:r>
              <w:rPr>
                <w:rFonts w:ascii="Arial" w:hAnsi="Arial"/>
                <w:b/>
                <w:color w:val="FFFFFF"/>
                <w:sz w:val="17"/>
              </w:rPr>
              <w:t>Model Architecture</w:t>
            </w:r>
          </w:p>
        </w:tc>
        <w:tc>
          <w:tcPr>
            <w:tcW w:type="dxa" w:w="2340"/>
            <w:shd w:fill="003366"/>
            <w:tcMar>
              <w:top w:w="60" w:type="dxa"/>
              <w:bottom w:w="60" w:type="dxa"/>
              <w:left w:w="80" w:type="dxa"/>
              <w:right w:w="80" w:type="dxa"/>
            </w:tcMar>
          </w:tcPr>
          <w:p>
            <w:pPr>
              <w:spacing w:after="0"/>
            </w:pPr>
            <w:r>
              <w:rPr>
                <w:rFonts w:ascii="Arial" w:hAnsi="Arial"/>
                <w:b/>
                <w:color w:val="FFFFFF"/>
                <w:sz w:val="17"/>
              </w:rPr>
              <w:t>Raw Features RMSE</w:t>
            </w:r>
          </w:p>
        </w:tc>
        <w:tc>
          <w:tcPr>
            <w:tcW w:type="dxa" w:w="2340"/>
            <w:shd w:fill="003366"/>
            <w:tcMar>
              <w:top w:w="60" w:type="dxa"/>
              <w:bottom w:w="60" w:type="dxa"/>
              <w:left w:w="80" w:type="dxa"/>
              <w:right w:w="80" w:type="dxa"/>
            </w:tcMar>
          </w:tcPr>
          <w:p>
            <w:pPr>
              <w:spacing w:after="0"/>
            </w:pPr>
            <w:r>
              <w:rPr>
                <w:rFonts w:ascii="Arial" w:hAnsi="Arial"/>
                <w:b/>
                <w:color w:val="FFFFFF"/>
                <w:sz w:val="17"/>
              </w:rPr>
              <w:t>Engineered Features RMSE</w:t>
            </w:r>
          </w:p>
        </w:tc>
        <w:tc>
          <w:tcPr>
            <w:tcW w:type="dxa" w:w="2340"/>
            <w:shd w:fill="003366"/>
            <w:tcMar>
              <w:top w:w="60" w:type="dxa"/>
              <w:bottom w:w="60" w:type="dxa"/>
              <w:left w:w="80" w:type="dxa"/>
              <w:right w:w="80" w:type="dxa"/>
            </w:tcMar>
          </w:tcPr>
          <w:p>
            <w:pPr>
              <w:spacing w:after="0"/>
            </w:pPr>
            <w:r>
              <w:rPr>
                <w:rFonts w:ascii="Arial" w:hAnsi="Arial"/>
                <w:b/>
                <w:color w:val="FFFFFF"/>
                <w:sz w:val="17"/>
              </w:rPr>
              <w:t>Delta (Lift)</w:t>
            </w:r>
          </w:p>
        </w:tc>
      </w:tr>
      <w:tr>
        <w:tc>
          <w:tcPr>
            <w:tcW w:type="dxa" w:w="2340"/>
            <w:shd w:fill="FFFFFF"/>
            <w:tcMar>
              <w:top w:w="50" w:type="dxa"/>
              <w:bottom w:w="50" w:type="dxa"/>
              <w:left w:w="80" w:type="dxa"/>
              <w:right w:w="80" w:type="dxa"/>
            </w:tcMar>
          </w:tcPr>
          <w:p>
            <w:pPr>
              <w:spacing w:after="0"/>
            </w:pPr>
            <w:r>
              <w:rPr>
                <w:rFonts w:ascii="Arial" w:hAnsi="Arial"/>
                <w:b/>
                <w:color w:val="222222"/>
                <w:sz w:val="17"/>
              </w:rPr>
              <w:t>Ridge Regression</w:t>
            </w:r>
          </w:p>
        </w:tc>
        <w:tc>
          <w:tcPr>
            <w:tcW w:type="dxa" w:w="2340"/>
            <w:shd w:fill="FFFFFF"/>
            <w:tcMar>
              <w:top w:w="50" w:type="dxa"/>
              <w:bottom w:w="50" w:type="dxa"/>
              <w:left w:w="80" w:type="dxa"/>
              <w:right w:w="80" w:type="dxa"/>
            </w:tcMar>
          </w:tcPr>
          <w:p>
            <w:pPr>
              <w:spacing w:after="0"/>
            </w:pPr>
            <w:r>
              <w:rPr>
                <w:rFonts w:ascii="Arial" w:hAnsi="Arial"/>
                <w:color w:val="222222"/>
                <w:sz w:val="17"/>
              </w:rPr>
              <w:t>8.0507</w:t>
            </w:r>
          </w:p>
        </w:tc>
        <w:tc>
          <w:tcPr>
            <w:tcW w:type="dxa" w:w="2340"/>
            <w:shd w:fill="FFFFFF"/>
            <w:tcMar>
              <w:top w:w="50" w:type="dxa"/>
              <w:bottom w:w="50" w:type="dxa"/>
              <w:left w:w="80" w:type="dxa"/>
              <w:right w:w="80" w:type="dxa"/>
            </w:tcMar>
          </w:tcPr>
          <w:p>
            <w:pPr>
              <w:spacing w:after="0"/>
            </w:pPr>
            <w:r>
              <w:rPr>
                <w:rFonts w:ascii="Arial" w:hAnsi="Arial"/>
                <w:color w:val="222222"/>
                <w:sz w:val="17"/>
              </w:rPr>
              <w:t>8.0510</w:t>
            </w:r>
          </w:p>
        </w:tc>
        <w:tc>
          <w:tcPr>
            <w:tcW w:type="dxa" w:w="2340"/>
            <w:shd w:fill="FFFFFF"/>
            <w:tcMar>
              <w:top w:w="50" w:type="dxa"/>
              <w:bottom w:w="50" w:type="dxa"/>
              <w:left w:w="80" w:type="dxa"/>
              <w:right w:w="80" w:type="dxa"/>
            </w:tcMar>
          </w:tcPr>
          <w:p>
            <w:pPr>
              <w:spacing w:after="0"/>
            </w:pPr>
            <w:r>
              <w:rPr>
                <w:rFonts w:ascii="Arial" w:hAnsi="Arial"/>
                <w:color w:val="222222"/>
                <w:sz w:val="17"/>
              </w:rPr>
              <w:t>-0.0003</w:t>
            </w:r>
          </w:p>
        </w:tc>
      </w:tr>
      <w:tr>
        <w:tc>
          <w:tcPr>
            <w:tcW w:type="dxa" w:w="2340"/>
            <w:shd w:fill="F9FAFC"/>
            <w:tcMar>
              <w:top w:w="50" w:type="dxa"/>
              <w:bottom w:w="50" w:type="dxa"/>
              <w:left w:w="80" w:type="dxa"/>
              <w:right w:w="80" w:type="dxa"/>
            </w:tcMar>
          </w:tcPr>
          <w:p>
            <w:pPr>
              <w:spacing w:after="0"/>
            </w:pPr>
            <w:r>
              <w:rPr>
                <w:rFonts w:ascii="Arial" w:hAnsi="Arial"/>
                <w:b/>
                <w:color w:val="222222"/>
                <w:sz w:val="17"/>
              </w:rPr>
              <w:t>LightGBM Regressor</w:t>
            </w:r>
          </w:p>
        </w:tc>
        <w:tc>
          <w:tcPr>
            <w:tcW w:type="dxa" w:w="2340"/>
            <w:shd w:fill="F9FAFC"/>
            <w:tcMar>
              <w:top w:w="50" w:type="dxa"/>
              <w:bottom w:w="50" w:type="dxa"/>
              <w:left w:w="80" w:type="dxa"/>
              <w:right w:w="80" w:type="dxa"/>
            </w:tcMar>
          </w:tcPr>
          <w:p>
            <w:pPr>
              <w:spacing w:after="0"/>
            </w:pPr>
            <w:r>
              <w:rPr>
                <w:rFonts w:ascii="Arial" w:hAnsi="Arial"/>
                <w:color w:val="222222"/>
                <w:sz w:val="17"/>
              </w:rPr>
              <w:t>8.0576</w:t>
            </w:r>
          </w:p>
        </w:tc>
        <w:tc>
          <w:tcPr>
            <w:tcW w:type="dxa" w:w="2340"/>
            <w:shd w:fill="F9FAFC"/>
            <w:tcMar>
              <w:top w:w="50" w:type="dxa"/>
              <w:bottom w:w="50" w:type="dxa"/>
              <w:left w:w="80" w:type="dxa"/>
              <w:right w:w="80" w:type="dxa"/>
            </w:tcMar>
          </w:tcPr>
          <w:p>
            <w:pPr>
              <w:spacing w:after="0"/>
            </w:pPr>
            <w:r>
              <w:rPr>
                <w:rFonts w:ascii="Arial" w:hAnsi="Arial"/>
                <w:color w:val="222222"/>
                <w:sz w:val="17"/>
              </w:rPr>
              <w:t>8.0564</w:t>
            </w:r>
          </w:p>
        </w:tc>
        <w:tc>
          <w:tcPr>
            <w:tcW w:type="dxa" w:w="2340"/>
            <w:shd w:fill="F9FAFC"/>
            <w:tcMar>
              <w:top w:w="50" w:type="dxa"/>
              <w:bottom w:w="50" w:type="dxa"/>
              <w:left w:w="80" w:type="dxa"/>
              <w:right w:w="80" w:type="dxa"/>
            </w:tcMar>
          </w:tcPr>
          <w:p>
            <w:pPr>
              <w:spacing w:after="0"/>
            </w:pPr>
            <w:r>
              <w:rPr>
                <w:rFonts w:ascii="Arial" w:hAnsi="Arial"/>
                <w:color w:val="222222"/>
                <w:sz w:val="17"/>
              </w:rPr>
              <w:t>+0.0012</w:t>
            </w:r>
          </w:p>
        </w:tc>
      </w:tr>
    </w:tbl>
    <w:p>
      <w:pPr>
        <w:spacing w:after="120"/>
      </w:pPr>
    </w:p>
    <w:p>
      <w:pPr>
        <w:spacing w:after="100" w:line="276" w:lineRule="auto"/>
      </w:pPr>
      <w:r>
        <w:rPr>
          <w:rFonts w:ascii="Arial" w:hAnsi="Arial"/>
          <w:color w:val="222222"/>
          <w:sz w:val="20"/>
        </w:rPr>
        <w:t>The ablation study reveals that continuous intra-semester homework performance and prior GPA carry the overwhelming majority of predictive signal; adding lagged semester features provides modest incremental gain in gradient boosted trees (+0.0012 RMSE reduction) while maintaining parity in linear models.</w:t>
      </w:r>
    </w:p>
    <w:p>
      <w:pPr>
        <w:keepNext/>
        <w:spacing w:before="360" w:after="120"/>
      </w:pPr>
      <w:r>
        <w:rPr>
          <w:rFonts w:ascii="Arial" w:hAnsi="Arial"/>
          <w:b/>
          <w:color w:val="003366"/>
          <w:sz w:val="30"/>
        </w:rPr>
        <w:t>Section e: Model Evaluation, Results &amp; Comparative Benchmarks</w:t>
      </w:r>
    </w:p>
    <w:p>
      <w:pPr>
        <w:keepNext/>
        <w:spacing w:before="260" w:after="80"/>
      </w:pPr>
      <w:r>
        <w:rPr>
          <w:rFonts w:ascii="Arial" w:hAnsi="Arial"/>
          <w:b/>
          <w:color w:val="4A607A"/>
          <w:sz w:val="24"/>
        </w:rPr>
        <w:t>e.1 Regression Model Benchmarking (Final Exam Prediction)</w:t>
      </w:r>
    </w:p>
    <w:p>
      <w:pPr>
        <w:spacing w:after="100" w:line="276" w:lineRule="auto"/>
      </w:pPr>
      <w:r>
        <w:rPr>
          <w:rFonts w:ascii="Arial" w:hAnsi="Arial"/>
          <w:color w:val="222222"/>
          <w:sz w:val="20"/>
        </w:rPr>
        <w:t>Table 2 reports performance metrics evaluated on the chronological holdout test set (Semesters 7 &amp; 8).</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03366"/>
            <w:tcMar>
              <w:top w:w="60" w:type="dxa"/>
              <w:bottom w:w="60" w:type="dxa"/>
              <w:left w:w="80" w:type="dxa"/>
              <w:right w:w="80" w:type="dxa"/>
            </w:tcMar>
          </w:tcPr>
          <w:p>
            <w:pPr>
              <w:spacing w:after="0"/>
            </w:pPr>
            <w:r>
              <w:rPr>
                <w:rFonts w:ascii="Arial" w:hAnsi="Arial"/>
                <w:b/>
                <w:color w:val="FFFFFF"/>
                <w:sz w:val="17"/>
              </w:rPr>
              <w:t>Regression Architecture</w:t>
            </w:r>
          </w:p>
        </w:tc>
        <w:tc>
          <w:tcPr>
            <w:tcW w:type="dxa" w:w="1872"/>
            <w:shd w:fill="003366"/>
            <w:tcMar>
              <w:top w:w="60" w:type="dxa"/>
              <w:bottom w:w="60" w:type="dxa"/>
              <w:left w:w="80" w:type="dxa"/>
              <w:right w:w="80" w:type="dxa"/>
            </w:tcMar>
          </w:tcPr>
          <w:p>
            <w:pPr>
              <w:spacing w:after="0"/>
            </w:pPr>
            <w:r>
              <w:rPr>
                <w:rFonts w:ascii="Arial" w:hAnsi="Arial"/>
                <w:b/>
                <w:color w:val="FFFFFF"/>
                <w:sz w:val="17"/>
              </w:rPr>
              <w:t>RMSE (Points)</w:t>
            </w:r>
          </w:p>
        </w:tc>
        <w:tc>
          <w:tcPr>
            <w:tcW w:type="dxa" w:w="1872"/>
            <w:shd w:fill="003366"/>
            <w:tcMar>
              <w:top w:w="60" w:type="dxa"/>
              <w:bottom w:w="60" w:type="dxa"/>
              <w:left w:w="80" w:type="dxa"/>
              <w:right w:w="80" w:type="dxa"/>
            </w:tcMar>
          </w:tcPr>
          <w:p>
            <w:pPr>
              <w:spacing w:after="0"/>
            </w:pPr>
            <w:r>
              <w:rPr>
                <w:rFonts w:ascii="Arial" w:hAnsi="Arial"/>
                <w:b/>
                <w:color w:val="FFFFFF"/>
                <w:sz w:val="17"/>
              </w:rPr>
              <w:t>MAE (Points)</w:t>
            </w:r>
          </w:p>
        </w:tc>
        <w:tc>
          <w:tcPr>
            <w:tcW w:type="dxa" w:w="1872"/>
            <w:shd w:fill="003366"/>
            <w:tcMar>
              <w:top w:w="60" w:type="dxa"/>
              <w:bottom w:w="60" w:type="dxa"/>
              <w:left w:w="80" w:type="dxa"/>
              <w:right w:w="80" w:type="dxa"/>
            </w:tcMar>
          </w:tcPr>
          <w:p>
            <w:pPr>
              <w:spacing w:after="0"/>
            </w:pPr>
            <w:r>
              <w:rPr>
                <w:rFonts w:ascii="Arial" w:hAnsi="Arial"/>
                <w:b/>
                <w:color w:val="FFFFFF"/>
                <w:sz w:val="17"/>
              </w:rPr>
              <w:t>R² Score</w:t>
            </w:r>
          </w:p>
        </w:tc>
        <w:tc>
          <w:tcPr>
            <w:tcW w:type="dxa" w:w="1872"/>
            <w:shd w:fill="003366"/>
            <w:tcMar>
              <w:top w:w="60" w:type="dxa"/>
              <w:bottom w:w="60" w:type="dxa"/>
              <w:left w:w="80" w:type="dxa"/>
              <w:right w:w="80" w:type="dxa"/>
            </w:tcMar>
          </w:tcPr>
          <w:p>
            <w:pPr>
              <w:spacing w:after="0"/>
            </w:pPr>
            <w:r>
              <w:rPr>
                <w:rFonts w:ascii="Arial" w:hAnsi="Arial"/>
                <w:b/>
                <w:color w:val="FFFFFF"/>
                <w:sz w:val="17"/>
              </w:rPr>
              <w:t>MAPE (%)</w:t>
            </w:r>
          </w:p>
        </w:tc>
      </w:tr>
      <w:tr>
        <w:tc>
          <w:tcPr>
            <w:tcW w:type="dxa" w:w="1872"/>
            <w:shd w:fill="FFFFFF"/>
            <w:tcMar>
              <w:top w:w="50" w:type="dxa"/>
              <w:bottom w:w="50" w:type="dxa"/>
              <w:left w:w="80" w:type="dxa"/>
              <w:right w:w="80" w:type="dxa"/>
            </w:tcMar>
          </w:tcPr>
          <w:p>
            <w:pPr>
              <w:spacing w:after="0"/>
            </w:pPr>
            <w:r>
              <w:rPr>
                <w:rFonts w:ascii="Arial" w:hAnsi="Arial"/>
                <w:b/>
                <w:color w:val="222222"/>
                <w:sz w:val="17"/>
              </w:rPr>
              <w:t>Ridge Regression (alpha=1.0)</w:t>
            </w:r>
          </w:p>
        </w:tc>
        <w:tc>
          <w:tcPr>
            <w:tcW w:type="dxa" w:w="1872"/>
            <w:shd w:fill="FFFFFF"/>
            <w:tcMar>
              <w:top w:w="50" w:type="dxa"/>
              <w:bottom w:w="50" w:type="dxa"/>
              <w:left w:w="80" w:type="dxa"/>
              <w:right w:w="80" w:type="dxa"/>
            </w:tcMar>
          </w:tcPr>
          <w:p>
            <w:pPr>
              <w:spacing w:after="0"/>
            </w:pPr>
            <w:r>
              <w:rPr>
                <w:rFonts w:ascii="Arial" w:hAnsi="Arial"/>
                <w:color w:val="222222"/>
                <w:sz w:val="17"/>
              </w:rPr>
              <w:t>8.0510</w:t>
            </w:r>
          </w:p>
        </w:tc>
        <w:tc>
          <w:tcPr>
            <w:tcW w:type="dxa" w:w="1872"/>
            <w:shd w:fill="FFFFFF"/>
            <w:tcMar>
              <w:top w:w="50" w:type="dxa"/>
              <w:bottom w:w="50" w:type="dxa"/>
              <w:left w:w="80" w:type="dxa"/>
              <w:right w:w="80" w:type="dxa"/>
            </w:tcMar>
          </w:tcPr>
          <w:p>
            <w:pPr>
              <w:spacing w:after="0"/>
            </w:pPr>
            <w:r>
              <w:rPr>
                <w:rFonts w:ascii="Arial" w:hAnsi="Arial"/>
                <w:color w:val="222222"/>
                <w:sz w:val="17"/>
              </w:rPr>
              <w:t>6.4637</w:t>
            </w:r>
          </w:p>
        </w:tc>
        <w:tc>
          <w:tcPr>
            <w:tcW w:type="dxa" w:w="1872"/>
            <w:shd w:fill="FFFFFF"/>
            <w:tcMar>
              <w:top w:w="50" w:type="dxa"/>
              <w:bottom w:w="50" w:type="dxa"/>
              <w:left w:w="80" w:type="dxa"/>
              <w:right w:w="80" w:type="dxa"/>
            </w:tcMar>
          </w:tcPr>
          <w:p>
            <w:pPr>
              <w:spacing w:after="0"/>
            </w:pPr>
            <w:r>
              <w:rPr>
                <w:rFonts w:ascii="Arial" w:hAnsi="Arial"/>
                <w:color w:val="222222"/>
                <w:sz w:val="17"/>
              </w:rPr>
              <w:t>0.3885</w:t>
            </w:r>
          </w:p>
        </w:tc>
        <w:tc>
          <w:tcPr>
            <w:tcW w:type="dxa" w:w="1872"/>
            <w:shd w:fill="FFFFFF"/>
            <w:tcMar>
              <w:top w:w="50" w:type="dxa"/>
              <w:bottom w:w="50" w:type="dxa"/>
              <w:left w:w="80" w:type="dxa"/>
              <w:right w:w="80" w:type="dxa"/>
            </w:tcMar>
          </w:tcPr>
          <w:p>
            <w:pPr>
              <w:spacing w:after="0"/>
            </w:pPr>
            <w:r>
              <w:rPr>
                <w:rFonts w:ascii="Arial" w:hAnsi="Arial"/>
                <w:color w:val="222222"/>
                <w:sz w:val="17"/>
              </w:rPr>
              <w:t>8.17%</w:t>
            </w:r>
          </w:p>
        </w:tc>
      </w:tr>
      <w:tr>
        <w:tc>
          <w:tcPr>
            <w:tcW w:type="dxa" w:w="1872"/>
            <w:shd w:fill="F9FAFC"/>
            <w:tcMar>
              <w:top w:w="50" w:type="dxa"/>
              <w:bottom w:w="50" w:type="dxa"/>
              <w:left w:w="80" w:type="dxa"/>
              <w:right w:w="80" w:type="dxa"/>
            </w:tcMar>
          </w:tcPr>
          <w:p>
            <w:pPr>
              <w:spacing w:after="0"/>
            </w:pPr>
            <w:r>
              <w:rPr>
                <w:rFonts w:ascii="Arial" w:hAnsi="Arial"/>
                <w:b/>
                <w:color w:val="222222"/>
                <w:sz w:val="17"/>
              </w:rPr>
              <w:t>Decision Tree Regressor (depth=8)</w:t>
            </w:r>
          </w:p>
        </w:tc>
        <w:tc>
          <w:tcPr>
            <w:tcW w:type="dxa" w:w="1872"/>
            <w:shd w:fill="F9FAFC"/>
            <w:tcMar>
              <w:top w:w="50" w:type="dxa"/>
              <w:bottom w:w="50" w:type="dxa"/>
              <w:left w:w="80" w:type="dxa"/>
              <w:right w:w="80" w:type="dxa"/>
            </w:tcMar>
          </w:tcPr>
          <w:p>
            <w:pPr>
              <w:spacing w:after="0"/>
            </w:pPr>
            <w:r>
              <w:rPr>
                <w:rFonts w:ascii="Arial" w:hAnsi="Arial"/>
                <w:color w:val="222222"/>
                <w:sz w:val="17"/>
              </w:rPr>
              <w:t>8.1322</w:t>
            </w:r>
          </w:p>
        </w:tc>
        <w:tc>
          <w:tcPr>
            <w:tcW w:type="dxa" w:w="1872"/>
            <w:shd w:fill="F9FAFC"/>
            <w:tcMar>
              <w:top w:w="50" w:type="dxa"/>
              <w:bottom w:w="50" w:type="dxa"/>
              <w:left w:w="80" w:type="dxa"/>
              <w:right w:w="80" w:type="dxa"/>
            </w:tcMar>
          </w:tcPr>
          <w:p>
            <w:pPr>
              <w:spacing w:after="0"/>
            </w:pPr>
            <w:r>
              <w:rPr>
                <w:rFonts w:ascii="Arial" w:hAnsi="Arial"/>
                <w:color w:val="222222"/>
                <w:sz w:val="17"/>
              </w:rPr>
              <w:t>6.5261</w:t>
            </w:r>
          </w:p>
        </w:tc>
        <w:tc>
          <w:tcPr>
            <w:tcW w:type="dxa" w:w="1872"/>
            <w:shd w:fill="F9FAFC"/>
            <w:tcMar>
              <w:top w:w="50" w:type="dxa"/>
              <w:bottom w:w="50" w:type="dxa"/>
              <w:left w:w="80" w:type="dxa"/>
              <w:right w:w="80" w:type="dxa"/>
            </w:tcMar>
          </w:tcPr>
          <w:p>
            <w:pPr>
              <w:spacing w:after="0"/>
            </w:pPr>
            <w:r>
              <w:rPr>
                <w:rFonts w:ascii="Arial" w:hAnsi="Arial"/>
                <w:color w:val="222222"/>
                <w:sz w:val="17"/>
              </w:rPr>
              <w:t>0.3761</w:t>
            </w:r>
          </w:p>
        </w:tc>
        <w:tc>
          <w:tcPr>
            <w:tcW w:type="dxa" w:w="1872"/>
            <w:shd w:fill="F9FAFC"/>
            <w:tcMar>
              <w:top w:w="50" w:type="dxa"/>
              <w:bottom w:w="50" w:type="dxa"/>
              <w:left w:w="80" w:type="dxa"/>
              <w:right w:w="80" w:type="dxa"/>
            </w:tcMar>
          </w:tcPr>
          <w:p>
            <w:pPr>
              <w:spacing w:after="0"/>
            </w:pPr>
            <w:r>
              <w:rPr>
                <w:rFonts w:ascii="Arial" w:hAnsi="Arial"/>
                <w:color w:val="222222"/>
                <w:sz w:val="17"/>
              </w:rPr>
              <w:t>8.25%</w:t>
            </w:r>
          </w:p>
        </w:tc>
      </w:tr>
      <w:tr>
        <w:tc>
          <w:tcPr>
            <w:tcW w:type="dxa" w:w="1872"/>
            <w:shd w:fill="FFFFFF"/>
            <w:tcMar>
              <w:top w:w="50" w:type="dxa"/>
              <w:bottom w:w="50" w:type="dxa"/>
              <w:left w:w="80" w:type="dxa"/>
              <w:right w:w="80" w:type="dxa"/>
            </w:tcMar>
          </w:tcPr>
          <w:p>
            <w:pPr>
              <w:spacing w:after="0"/>
            </w:pPr>
            <w:r>
              <w:rPr>
                <w:rFonts w:ascii="Arial" w:hAnsi="Arial"/>
                <w:b/>
                <w:color w:val="222222"/>
                <w:sz w:val="17"/>
              </w:rPr>
              <w:t>Random Forest Regressor (B=100)</w:t>
            </w:r>
          </w:p>
        </w:tc>
        <w:tc>
          <w:tcPr>
            <w:tcW w:type="dxa" w:w="1872"/>
            <w:shd w:fill="FFFFFF"/>
            <w:tcMar>
              <w:top w:w="50" w:type="dxa"/>
              <w:bottom w:w="50" w:type="dxa"/>
              <w:left w:w="80" w:type="dxa"/>
              <w:right w:w="80" w:type="dxa"/>
            </w:tcMar>
          </w:tcPr>
          <w:p>
            <w:pPr>
              <w:spacing w:after="0"/>
            </w:pPr>
            <w:r>
              <w:rPr>
                <w:rFonts w:ascii="Arial" w:hAnsi="Arial"/>
                <w:color w:val="222222"/>
                <w:sz w:val="17"/>
              </w:rPr>
              <w:t>8.0742</w:t>
            </w:r>
          </w:p>
        </w:tc>
        <w:tc>
          <w:tcPr>
            <w:tcW w:type="dxa" w:w="1872"/>
            <w:shd w:fill="FFFFFF"/>
            <w:tcMar>
              <w:top w:w="50" w:type="dxa"/>
              <w:bottom w:w="50" w:type="dxa"/>
              <w:left w:w="80" w:type="dxa"/>
              <w:right w:w="80" w:type="dxa"/>
            </w:tcMar>
          </w:tcPr>
          <w:p>
            <w:pPr>
              <w:spacing w:after="0"/>
            </w:pPr>
            <w:r>
              <w:rPr>
                <w:rFonts w:ascii="Arial" w:hAnsi="Arial"/>
                <w:color w:val="222222"/>
                <w:sz w:val="17"/>
              </w:rPr>
              <w:t>6.4896</w:t>
            </w:r>
          </w:p>
        </w:tc>
        <w:tc>
          <w:tcPr>
            <w:tcW w:type="dxa" w:w="1872"/>
            <w:shd w:fill="FFFFFF"/>
            <w:tcMar>
              <w:top w:w="50" w:type="dxa"/>
              <w:bottom w:w="50" w:type="dxa"/>
              <w:left w:w="80" w:type="dxa"/>
              <w:right w:w="80" w:type="dxa"/>
            </w:tcMar>
          </w:tcPr>
          <w:p>
            <w:pPr>
              <w:spacing w:after="0"/>
            </w:pPr>
            <w:r>
              <w:rPr>
                <w:rFonts w:ascii="Arial" w:hAnsi="Arial"/>
                <w:color w:val="222222"/>
                <w:sz w:val="17"/>
              </w:rPr>
              <w:t>0.3850</w:t>
            </w:r>
          </w:p>
        </w:tc>
        <w:tc>
          <w:tcPr>
            <w:tcW w:type="dxa" w:w="1872"/>
            <w:shd w:fill="FFFFFF"/>
            <w:tcMar>
              <w:top w:w="50" w:type="dxa"/>
              <w:bottom w:w="50" w:type="dxa"/>
              <w:left w:w="80" w:type="dxa"/>
              <w:right w:w="80" w:type="dxa"/>
            </w:tcMar>
          </w:tcPr>
          <w:p>
            <w:pPr>
              <w:spacing w:after="0"/>
            </w:pPr>
            <w:r>
              <w:rPr>
                <w:rFonts w:ascii="Arial" w:hAnsi="Arial"/>
                <w:color w:val="222222"/>
                <w:sz w:val="17"/>
              </w:rPr>
              <w:t>8.20%</w:t>
            </w:r>
          </w:p>
        </w:tc>
      </w:tr>
      <w:tr>
        <w:tc>
          <w:tcPr>
            <w:tcW w:type="dxa" w:w="1872"/>
            <w:shd w:fill="F9FAFC"/>
            <w:tcMar>
              <w:top w:w="50" w:type="dxa"/>
              <w:bottom w:w="50" w:type="dxa"/>
              <w:left w:w="80" w:type="dxa"/>
              <w:right w:w="80" w:type="dxa"/>
            </w:tcMar>
          </w:tcPr>
          <w:p>
            <w:pPr>
              <w:spacing w:after="0"/>
            </w:pPr>
            <w:r>
              <w:rPr>
                <w:rFonts w:ascii="Arial" w:hAnsi="Arial"/>
                <w:b/>
                <w:color w:val="222222"/>
                <w:sz w:val="17"/>
              </w:rPr>
              <w:t>LightGBM Regressor (Baseline)</w:t>
            </w:r>
          </w:p>
        </w:tc>
        <w:tc>
          <w:tcPr>
            <w:tcW w:type="dxa" w:w="1872"/>
            <w:shd w:fill="F9FAFC"/>
            <w:tcMar>
              <w:top w:w="50" w:type="dxa"/>
              <w:bottom w:w="50" w:type="dxa"/>
              <w:left w:w="80" w:type="dxa"/>
              <w:right w:w="80" w:type="dxa"/>
            </w:tcMar>
          </w:tcPr>
          <w:p>
            <w:pPr>
              <w:spacing w:after="0"/>
            </w:pPr>
            <w:r>
              <w:rPr>
                <w:rFonts w:ascii="Arial" w:hAnsi="Arial"/>
                <w:color w:val="222222"/>
                <w:sz w:val="17"/>
              </w:rPr>
              <w:t>8.0603</w:t>
            </w:r>
          </w:p>
        </w:tc>
        <w:tc>
          <w:tcPr>
            <w:tcW w:type="dxa" w:w="1872"/>
            <w:shd w:fill="F9FAFC"/>
            <w:tcMar>
              <w:top w:w="50" w:type="dxa"/>
              <w:bottom w:w="50" w:type="dxa"/>
              <w:left w:w="80" w:type="dxa"/>
              <w:right w:w="80" w:type="dxa"/>
            </w:tcMar>
          </w:tcPr>
          <w:p>
            <w:pPr>
              <w:spacing w:after="0"/>
            </w:pPr>
            <w:r>
              <w:rPr>
                <w:rFonts w:ascii="Arial" w:hAnsi="Arial"/>
                <w:color w:val="222222"/>
                <w:sz w:val="17"/>
              </w:rPr>
              <w:t>6.4748</w:t>
            </w:r>
          </w:p>
        </w:tc>
        <w:tc>
          <w:tcPr>
            <w:tcW w:type="dxa" w:w="1872"/>
            <w:shd w:fill="F9FAFC"/>
            <w:tcMar>
              <w:top w:w="50" w:type="dxa"/>
              <w:bottom w:w="50" w:type="dxa"/>
              <w:left w:w="80" w:type="dxa"/>
              <w:right w:w="80" w:type="dxa"/>
            </w:tcMar>
          </w:tcPr>
          <w:p>
            <w:pPr>
              <w:spacing w:after="0"/>
            </w:pPr>
            <w:r>
              <w:rPr>
                <w:rFonts w:ascii="Arial" w:hAnsi="Arial"/>
                <w:color w:val="222222"/>
                <w:sz w:val="17"/>
              </w:rPr>
              <w:t>0.3871</w:t>
            </w:r>
          </w:p>
        </w:tc>
        <w:tc>
          <w:tcPr>
            <w:tcW w:type="dxa" w:w="1872"/>
            <w:shd w:fill="F9FAFC"/>
            <w:tcMar>
              <w:top w:w="50" w:type="dxa"/>
              <w:bottom w:w="50" w:type="dxa"/>
              <w:left w:w="80" w:type="dxa"/>
              <w:right w:w="80" w:type="dxa"/>
            </w:tcMar>
          </w:tcPr>
          <w:p>
            <w:pPr>
              <w:spacing w:after="0"/>
            </w:pPr>
            <w:r>
              <w:rPr>
                <w:rFonts w:ascii="Arial" w:hAnsi="Arial"/>
                <w:color w:val="222222"/>
                <w:sz w:val="17"/>
              </w:rPr>
              <w:t>8.19%</w:t>
            </w:r>
          </w:p>
        </w:tc>
      </w:tr>
      <w:tr>
        <w:tc>
          <w:tcPr>
            <w:tcW w:type="dxa" w:w="1872"/>
            <w:shd w:fill="FFFFFF"/>
            <w:tcMar>
              <w:top w:w="50" w:type="dxa"/>
              <w:bottom w:w="50" w:type="dxa"/>
              <w:left w:w="80" w:type="dxa"/>
              <w:right w:w="80" w:type="dxa"/>
            </w:tcMar>
          </w:tcPr>
          <w:p>
            <w:pPr>
              <w:spacing w:after="0"/>
            </w:pPr>
            <w:r>
              <w:rPr>
                <w:rFonts w:ascii="Arial" w:hAnsi="Arial"/>
                <w:b/>
                <w:color w:val="222222"/>
                <w:sz w:val="17"/>
              </w:rPr>
              <w:t>LightGBM Regressor (Tuned)</w:t>
            </w:r>
          </w:p>
        </w:tc>
        <w:tc>
          <w:tcPr>
            <w:tcW w:type="dxa" w:w="1872"/>
            <w:shd w:fill="FFFFFF"/>
            <w:tcMar>
              <w:top w:w="50" w:type="dxa"/>
              <w:bottom w:w="50" w:type="dxa"/>
              <w:left w:w="80" w:type="dxa"/>
              <w:right w:w="80" w:type="dxa"/>
            </w:tcMar>
          </w:tcPr>
          <w:p>
            <w:pPr>
              <w:spacing w:after="0"/>
            </w:pPr>
            <w:r>
              <w:rPr>
                <w:rFonts w:ascii="Arial" w:hAnsi="Arial"/>
                <w:color w:val="222222"/>
                <w:sz w:val="17"/>
              </w:rPr>
              <w:t>8.0528</w:t>
            </w:r>
          </w:p>
        </w:tc>
        <w:tc>
          <w:tcPr>
            <w:tcW w:type="dxa" w:w="1872"/>
            <w:shd w:fill="FFFFFF"/>
            <w:tcMar>
              <w:top w:w="50" w:type="dxa"/>
              <w:bottom w:w="50" w:type="dxa"/>
              <w:left w:w="80" w:type="dxa"/>
              <w:right w:w="80" w:type="dxa"/>
            </w:tcMar>
          </w:tcPr>
          <w:p>
            <w:pPr>
              <w:spacing w:after="0"/>
            </w:pPr>
            <w:r>
              <w:rPr>
                <w:rFonts w:ascii="Arial" w:hAnsi="Arial"/>
                <w:color w:val="222222"/>
                <w:sz w:val="17"/>
              </w:rPr>
              <w:t>6.4695</w:t>
            </w:r>
          </w:p>
        </w:tc>
        <w:tc>
          <w:tcPr>
            <w:tcW w:type="dxa" w:w="1872"/>
            <w:shd w:fill="FFFFFF"/>
            <w:tcMar>
              <w:top w:w="50" w:type="dxa"/>
              <w:bottom w:w="50" w:type="dxa"/>
              <w:left w:w="80" w:type="dxa"/>
              <w:right w:w="80" w:type="dxa"/>
            </w:tcMar>
          </w:tcPr>
          <w:p>
            <w:pPr>
              <w:spacing w:after="0"/>
            </w:pPr>
            <w:r>
              <w:rPr>
                <w:rFonts w:ascii="Arial" w:hAnsi="Arial"/>
                <w:color w:val="222222"/>
                <w:sz w:val="17"/>
              </w:rPr>
              <w:t>0.3883</w:t>
            </w:r>
          </w:p>
        </w:tc>
        <w:tc>
          <w:tcPr>
            <w:tcW w:type="dxa" w:w="1872"/>
            <w:shd w:fill="FFFFFF"/>
            <w:tcMar>
              <w:top w:w="50" w:type="dxa"/>
              <w:bottom w:w="50" w:type="dxa"/>
              <w:left w:w="80" w:type="dxa"/>
              <w:right w:w="80" w:type="dxa"/>
            </w:tcMar>
          </w:tcPr>
          <w:p>
            <w:pPr>
              <w:spacing w:after="0"/>
            </w:pPr>
            <w:r>
              <w:rPr>
                <w:rFonts w:ascii="Arial" w:hAnsi="Arial"/>
                <w:color w:val="222222"/>
                <w:sz w:val="17"/>
              </w:rPr>
              <w:t>8.18%</w:t>
            </w:r>
          </w:p>
        </w:tc>
      </w:tr>
      <w:tr>
        <w:tc>
          <w:tcPr>
            <w:tcW w:type="dxa" w:w="1872"/>
            <w:shd w:fill="F9FAFC"/>
            <w:tcMar>
              <w:top w:w="50" w:type="dxa"/>
              <w:bottom w:w="50" w:type="dxa"/>
              <w:left w:w="80" w:type="dxa"/>
              <w:right w:w="80" w:type="dxa"/>
            </w:tcMar>
          </w:tcPr>
          <w:p>
            <w:pPr>
              <w:spacing w:after="0"/>
            </w:pPr>
            <w:r>
              <w:rPr>
                <w:rFonts w:ascii="Arial" w:hAnsi="Arial"/>
                <w:b/>
                <w:color w:val="222222"/>
                <w:sz w:val="17"/>
              </w:rPr>
              <w:t>XGBoost Regressor (depth=6)</w:t>
            </w:r>
          </w:p>
        </w:tc>
        <w:tc>
          <w:tcPr>
            <w:tcW w:type="dxa" w:w="1872"/>
            <w:shd w:fill="F9FAFC"/>
            <w:tcMar>
              <w:top w:w="50" w:type="dxa"/>
              <w:bottom w:w="50" w:type="dxa"/>
              <w:left w:w="80" w:type="dxa"/>
              <w:right w:w="80" w:type="dxa"/>
            </w:tcMar>
          </w:tcPr>
          <w:p>
            <w:pPr>
              <w:spacing w:after="0"/>
            </w:pPr>
            <w:r>
              <w:rPr>
                <w:rFonts w:ascii="Arial" w:hAnsi="Arial"/>
                <w:color w:val="222222"/>
                <w:sz w:val="17"/>
              </w:rPr>
              <w:t>8.0764</w:t>
            </w:r>
          </w:p>
        </w:tc>
        <w:tc>
          <w:tcPr>
            <w:tcW w:type="dxa" w:w="1872"/>
            <w:shd w:fill="F9FAFC"/>
            <w:tcMar>
              <w:top w:w="50" w:type="dxa"/>
              <w:bottom w:w="50" w:type="dxa"/>
              <w:left w:w="80" w:type="dxa"/>
              <w:right w:w="80" w:type="dxa"/>
            </w:tcMar>
          </w:tcPr>
          <w:p>
            <w:pPr>
              <w:spacing w:after="0"/>
            </w:pPr>
            <w:r>
              <w:rPr>
                <w:rFonts w:ascii="Arial" w:hAnsi="Arial"/>
                <w:color w:val="222222"/>
                <w:sz w:val="17"/>
              </w:rPr>
              <w:t>6.4862</w:t>
            </w:r>
          </w:p>
        </w:tc>
        <w:tc>
          <w:tcPr>
            <w:tcW w:type="dxa" w:w="1872"/>
            <w:shd w:fill="F9FAFC"/>
            <w:tcMar>
              <w:top w:w="50" w:type="dxa"/>
              <w:bottom w:w="50" w:type="dxa"/>
              <w:left w:w="80" w:type="dxa"/>
              <w:right w:w="80" w:type="dxa"/>
            </w:tcMar>
          </w:tcPr>
          <w:p>
            <w:pPr>
              <w:spacing w:after="0"/>
            </w:pPr>
            <w:r>
              <w:rPr>
                <w:rFonts w:ascii="Arial" w:hAnsi="Arial"/>
                <w:color w:val="222222"/>
                <w:sz w:val="17"/>
              </w:rPr>
              <w:t>0.3847</w:t>
            </w:r>
          </w:p>
        </w:tc>
        <w:tc>
          <w:tcPr>
            <w:tcW w:type="dxa" w:w="1872"/>
            <w:shd w:fill="F9FAFC"/>
            <w:tcMar>
              <w:top w:w="50" w:type="dxa"/>
              <w:bottom w:w="50" w:type="dxa"/>
              <w:left w:w="80" w:type="dxa"/>
              <w:right w:w="80" w:type="dxa"/>
            </w:tcMar>
          </w:tcPr>
          <w:p>
            <w:pPr>
              <w:spacing w:after="0"/>
            </w:pPr>
            <w:r>
              <w:rPr>
                <w:rFonts w:ascii="Arial" w:hAnsi="Arial"/>
                <w:color w:val="222222"/>
                <w:sz w:val="17"/>
              </w:rPr>
              <w:t>8.20%</w:t>
            </w:r>
          </w:p>
        </w:tc>
      </w:tr>
      <w:tr>
        <w:tc>
          <w:tcPr>
            <w:tcW w:type="dxa" w:w="1872"/>
            <w:shd w:fill="FFFFFF"/>
            <w:tcMar>
              <w:top w:w="50" w:type="dxa"/>
              <w:bottom w:w="50" w:type="dxa"/>
              <w:left w:w="80" w:type="dxa"/>
              <w:right w:w="80" w:type="dxa"/>
            </w:tcMar>
          </w:tcPr>
          <w:p>
            <w:pPr>
              <w:spacing w:after="0"/>
            </w:pPr>
            <w:r>
              <w:rPr>
                <w:rFonts w:ascii="Arial" w:hAnsi="Arial"/>
                <w:b/>
                <w:color w:val="222222"/>
                <w:sz w:val="17"/>
              </w:rPr>
              <w:t>Voting Ensemble (RF + LGB + XGB)</w:t>
            </w:r>
          </w:p>
        </w:tc>
        <w:tc>
          <w:tcPr>
            <w:tcW w:type="dxa" w:w="1872"/>
            <w:shd w:fill="FFFFFF"/>
            <w:tcMar>
              <w:top w:w="50" w:type="dxa"/>
              <w:bottom w:w="50" w:type="dxa"/>
              <w:left w:w="80" w:type="dxa"/>
              <w:right w:w="80" w:type="dxa"/>
            </w:tcMar>
          </w:tcPr>
          <w:p>
            <w:pPr>
              <w:spacing w:after="0"/>
            </w:pPr>
            <w:r>
              <w:rPr>
                <w:rFonts w:ascii="Arial" w:hAnsi="Arial"/>
                <w:color w:val="222222"/>
                <w:sz w:val="17"/>
              </w:rPr>
              <w:t>8.0613</w:t>
            </w:r>
          </w:p>
        </w:tc>
        <w:tc>
          <w:tcPr>
            <w:tcW w:type="dxa" w:w="1872"/>
            <w:shd w:fill="FFFFFF"/>
            <w:tcMar>
              <w:top w:w="50" w:type="dxa"/>
              <w:bottom w:w="50" w:type="dxa"/>
              <w:left w:w="80" w:type="dxa"/>
              <w:right w:w="80" w:type="dxa"/>
            </w:tcMar>
          </w:tcPr>
          <w:p>
            <w:pPr>
              <w:spacing w:after="0"/>
            </w:pPr>
            <w:r>
              <w:rPr>
                <w:rFonts w:ascii="Arial" w:hAnsi="Arial"/>
                <w:color w:val="222222"/>
                <w:sz w:val="17"/>
              </w:rPr>
              <w:t>6.4754</w:t>
            </w:r>
          </w:p>
        </w:tc>
        <w:tc>
          <w:tcPr>
            <w:tcW w:type="dxa" w:w="1872"/>
            <w:shd w:fill="FFFFFF"/>
            <w:tcMar>
              <w:top w:w="50" w:type="dxa"/>
              <w:bottom w:w="50" w:type="dxa"/>
              <w:left w:w="80" w:type="dxa"/>
              <w:right w:w="80" w:type="dxa"/>
            </w:tcMar>
          </w:tcPr>
          <w:p>
            <w:pPr>
              <w:spacing w:after="0"/>
            </w:pPr>
            <w:r>
              <w:rPr>
                <w:rFonts w:ascii="Arial" w:hAnsi="Arial"/>
                <w:color w:val="222222"/>
                <w:sz w:val="17"/>
              </w:rPr>
              <w:t>0.3870</w:t>
            </w:r>
          </w:p>
        </w:tc>
        <w:tc>
          <w:tcPr>
            <w:tcW w:type="dxa" w:w="1872"/>
            <w:shd w:fill="FFFFFF"/>
            <w:tcMar>
              <w:top w:w="50" w:type="dxa"/>
              <w:bottom w:w="50" w:type="dxa"/>
              <w:left w:w="80" w:type="dxa"/>
              <w:right w:w="80" w:type="dxa"/>
            </w:tcMar>
          </w:tcPr>
          <w:p>
            <w:pPr>
              <w:spacing w:after="0"/>
            </w:pPr>
            <w:r>
              <w:rPr>
                <w:rFonts w:ascii="Arial" w:hAnsi="Arial"/>
                <w:color w:val="222222"/>
                <w:sz w:val="17"/>
              </w:rPr>
              <w:t>8.19%</w:t>
            </w:r>
          </w:p>
        </w:tc>
      </w:tr>
    </w:tbl>
    <w:p>
      <w:pPr>
        <w:spacing w:after="120"/>
      </w:pPr>
    </w:p>
    <w:p>
      <w:pPr>
        <w:spacing w:before="160" w:after="60"/>
        <w:jc w:val="center"/>
      </w:pPr>
      <w:r>
        <w:drawing>
          <wp:inline xmlns:a="http://schemas.openxmlformats.org/drawingml/2006/main" xmlns:pic="http://schemas.openxmlformats.org/drawingml/2006/picture">
            <wp:extent cx="5303520" cy="1894114"/>
            <wp:docPr id="2" name="Picture 2"/>
            <wp:cNvGraphicFramePr>
              <a:graphicFrameLocks noChangeAspect="1"/>
            </wp:cNvGraphicFramePr>
            <a:graphic>
              <a:graphicData uri="http://schemas.openxmlformats.org/drawingml/2006/picture">
                <pic:pic>
                  <pic:nvPicPr>
                    <pic:cNvPr id="0" name="fig4_regression_comparison.png"/>
                    <pic:cNvPicPr/>
                  </pic:nvPicPr>
                  <pic:blipFill>
                    <a:blip r:embed="rId10"/>
                    <a:stretch>
                      <a:fillRect/>
                    </a:stretch>
                  </pic:blipFill>
                  <pic:spPr>
                    <a:xfrm>
                      <a:off x="0" y="0"/>
                      <a:ext cx="5303520" cy="1894114"/>
                    </a:xfrm>
                    <a:prstGeom prst="rect"/>
                  </pic:spPr>
                </pic:pic>
              </a:graphicData>
            </a:graphic>
          </wp:inline>
        </w:drawing>
      </w:r>
    </w:p>
    <w:p>
      <w:pPr>
        <w:spacing w:after="200"/>
        <w:jc w:val="center"/>
      </w:pPr>
      <w:r>
        <w:rPr>
          <w:rFonts w:ascii="Arial" w:hAnsi="Arial"/>
          <w:b/>
          <w:color w:val="646E78"/>
          <w:sz w:val="18"/>
        </w:rPr>
        <w:t>Figure 2: Performance Comparison across Regression Architectures (Chronological Holdout)</w:t>
      </w:r>
    </w:p>
    <w:p>
      <w:pPr>
        <w:spacing w:before="160" w:after="60"/>
        <w:jc w:val="center"/>
      </w:pPr>
      <w:r>
        <w:drawing>
          <wp:inline xmlns:a="http://schemas.openxmlformats.org/drawingml/2006/main" xmlns:pic="http://schemas.openxmlformats.org/drawingml/2006/picture">
            <wp:extent cx="5303520" cy="1894114"/>
            <wp:docPr id="3" name="Picture 3"/>
            <wp:cNvGraphicFramePr>
              <a:graphicFrameLocks noChangeAspect="1"/>
            </wp:cNvGraphicFramePr>
            <a:graphic>
              <a:graphicData uri="http://schemas.openxmlformats.org/drawingml/2006/picture">
                <pic:pic>
                  <pic:nvPicPr>
                    <pic:cNvPr id="0" name="fig5_residuals_diagnostic.png"/>
                    <pic:cNvPicPr/>
                  </pic:nvPicPr>
                  <pic:blipFill>
                    <a:blip r:embed="rId11"/>
                    <a:stretch>
                      <a:fillRect/>
                    </a:stretch>
                  </pic:blipFill>
                  <pic:spPr>
                    <a:xfrm>
                      <a:off x="0" y="0"/>
                      <a:ext cx="5303520" cy="1894114"/>
                    </a:xfrm>
                    <a:prstGeom prst="rect"/>
                  </pic:spPr>
                </pic:pic>
              </a:graphicData>
            </a:graphic>
          </wp:inline>
        </w:drawing>
      </w:r>
    </w:p>
    <w:p>
      <w:pPr>
        <w:spacing w:after="200"/>
        <w:jc w:val="center"/>
      </w:pPr>
      <w:r>
        <w:rPr>
          <w:rFonts w:ascii="Arial" w:hAnsi="Arial"/>
          <w:b/>
          <w:color w:val="646E78"/>
          <w:sz w:val="18"/>
        </w:rPr>
        <w:t>Figure 3: Residual Diagnostic Scatter and Normality Histogram for Winning Model (Ridge)</w:t>
      </w:r>
    </w:p>
    <w:p>
      <w:pPr>
        <w:spacing w:after="100" w:line="276" w:lineRule="auto"/>
      </w:pPr>
      <w:r>
        <w:rPr>
          <w:rFonts w:ascii="Arial" w:hAnsi="Arial"/>
          <w:color w:val="222222"/>
          <w:sz w:val="20"/>
        </w:rPr>
        <w:t>Objective Regression Interpretation: Contrary to naive expectations that complex non-linear ensembles always dominate, regularized Ridge Regression achieved the lowest test RMSE (8.0510) and highest R² (0.3885), closely matched by Tuned LightGBM (8.0528). This occurs because the relationship between summative examination performance and the primary continuous predictors (formative homework average and prior cumulative GPA) is predominantly linear-additive. Decision trees partition continuous slopes into piecewise constant bins, introducing slight variance without capturing non-linear interactions. Ridge regression provides optimal variance regularization without structural overfitting.</w:t>
      </w:r>
    </w:p>
    <w:p>
      <w:pPr>
        <w:keepNext/>
        <w:spacing w:before="260" w:after="80"/>
      </w:pPr>
      <w:r>
        <w:rPr>
          <w:rFonts w:ascii="Arial" w:hAnsi="Arial"/>
          <w:b/>
          <w:color w:val="4A607A"/>
          <w:sz w:val="24"/>
        </w:rPr>
        <w:t>e.2 Multi-Class Classification &amp; Rigorous Minority 'F' Evaluation</w:t>
      </w:r>
    </w:p>
    <w:p>
      <w:pPr>
        <w:spacing w:after="100" w:line="276" w:lineRule="auto"/>
      </w:pPr>
      <w:r>
        <w:rPr>
          <w:rFonts w:ascii="Arial" w:hAnsi="Arial"/>
          <w:color w:val="222222"/>
          <w:sz w:val="20"/>
        </w:rPr>
        <w:t>In the chronological test split (38,425 records), failing grades ('F') represent an extreme minority class of only 146 instances (0.380%). Table 3 provides an empirical side-by-side comparison of unweighted models versus cost-sensitive balanced models.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03366"/>
            <w:tcMar>
              <w:top w:w="60" w:type="dxa"/>
              <w:bottom w:w="60" w:type="dxa"/>
              <w:left w:w="60" w:type="dxa"/>
              <w:right w:w="60" w:type="dxa"/>
            </w:tcMar>
          </w:tcPr>
          <w:p>
            <w:pPr>
              <w:spacing w:after="0"/>
            </w:pPr>
            <w:r>
              <w:rPr>
                <w:rFonts w:ascii="Arial" w:hAnsi="Arial"/>
                <w:b/>
                <w:color w:val="FFFFFF"/>
                <w:sz w:val="16"/>
              </w:rPr>
              <w:t>Model Architecture</w:t>
            </w:r>
          </w:p>
        </w:tc>
        <w:tc>
          <w:tcPr>
            <w:tcW w:type="dxa" w:w="1337"/>
            <w:shd w:fill="003366"/>
            <w:tcMar>
              <w:top w:w="60" w:type="dxa"/>
              <w:bottom w:w="60" w:type="dxa"/>
              <w:left w:w="60" w:type="dxa"/>
              <w:right w:w="60" w:type="dxa"/>
            </w:tcMar>
          </w:tcPr>
          <w:p>
            <w:pPr>
              <w:spacing w:after="0"/>
            </w:pPr>
            <w:r>
              <w:rPr>
                <w:rFonts w:ascii="Arial" w:hAnsi="Arial"/>
                <w:b/>
                <w:color w:val="FFFFFF"/>
                <w:sz w:val="16"/>
              </w:rPr>
              <w:t>Overall Acc</w:t>
            </w:r>
          </w:p>
        </w:tc>
        <w:tc>
          <w:tcPr>
            <w:tcW w:type="dxa" w:w="1337"/>
            <w:shd w:fill="003366"/>
            <w:tcMar>
              <w:top w:w="60" w:type="dxa"/>
              <w:bottom w:w="60" w:type="dxa"/>
              <w:left w:w="60" w:type="dxa"/>
              <w:right w:w="60" w:type="dxa"/>
            </w:tcMar>
          </w:tcPr>
          <w:p>
            <w:pPr>
              <w:spacing w:after="0"/>
            </w:pPr>
            <w:r>
              <w:rPr>
                <w:rFonts w:ascii="Arial" w:hAnsi="Arial"/>
                <w:b/>
                <w:color w:val="FFFFFF"/>
                <w:sz w:val="16"/>
              </w:rPr>
              <w:t>Macro Prec</w:t>
            </w:r>
          </w:p>
        </w:tc>
        <w:tc>
          <w:tcPr>
            <w:tcW w:type="dxa" w:w="1337"/>
            <w:shd w:fill="003366"/>
            <w:tcMar>
              <w:top w:w="60" w:type="dxa"/>
              <w:bottom w:w="60" w:type="dxa"/>
              <w:left w:w="60" w:type="dxa"/>
              <w:right w:w="60" w:type="dxa"/>
            </w:tcMar>
          </w:tcPr>
          <w:p>
            <w:pPr>
              <w:spacing w:after="0"/>
            </w:pPr>
            <w:r>
              <w:rPr>
                <w:rFonts w:ascii="Arial" w:hAnsi="Arial"/>
                <w:b/>
                <w:color w:val="FFFFFF"/>
                <w:sz w:val="16"/>
              </w:rPr>
              <w:t>Macro Rec</w:t>
            </w:r>
          </w:p>
        </w:tc>
        <w:tc>
          <w:tcPr>
            <w:tcW w:type="dxa" w:w="1337"/>
            <w:shd w:fill="003366"/>
            <w:tcMar>
              <w:top w:w="60" w:type="dxa"/>
              <w:bottom w:w="60" w:type="dxa"/>
              <w:left w:w="60" w:type="dxa"/>
              <w:right w:w="60" w:type="dxa"/>
            </w:tcMar>
          </w:tcPr>
          <w:p>
            <w:pPr>
              <w:spacing w:after="0"/>
            </w:pPr>
            <w:r>
              <w:rPr>
                <w:rFonts w:ascii="Arial" w:hAnsi="Arial"/>
                <w:b/>
                <w:color w:val="FFFFFF"/>
                <w:sz w:val="16"/>
              </w:rPr>
              <w:t>Macro F1</w:t>
            </w:r>
          </w:p>
        </w:tc>
        <w:tc>
          <w:tcPr>
            <w:tcW w:type="dxa" w:w="1337"/>
            <w:shd w:fill="003366"/>
            <w:tcMar>
              <w:top w:w="60" w:type="dxa"/>
              <w:bottom w:w="60" w:type="dxa"/>
              <w:left w:w="60" w:type="dxa"/>
              <w:right w:w="60" w:type="dxa"/>
            </w:tcMar>
          </w:tcPr>
          <w:p>
            <w:pPr>
              <w:spacing w:after="0"/>
            </w:pPr>
            <w:r>
              <w:rPr>
                <w:rFonts w:ascii="Arial" w:hAnsi="Arial"/>
                <w:b/>
                <w:color w:val="FFFFFF"/>
                <w:sz w:val="16"/>
              </w:rPr>
              <w:t>Class F Rec</w:t>
            </w:r>
          </w:p>
        </w:tc>
        <w:tc>
          <w:tcPr>
            <w:tcW w:type="dxa" w:w="1337"/>
            <w:shd w:fill="003366"/>
            <w:tcMar>
              <w:top w:w="60" w:type="dxa"/>
              <w:bottom w:w="60" w:type="dxa"/>
              <w:left w:w="60" w:type="dxa"/>
              <w:right w:w="60" w:type="dxa"/>
            </w:tcMar>
          </w:tcPr>
          <w:p>
            <w:pPr>
              <w:spacing w:after="0"/>
            </w:pPr>
            <w:r>
              <w:rPr>
                <w:rFonts w:ascii="Arial" w:hAnsi="Arial"/>
                <w:b/>
                <w:color w:val="FFFFFF"/>
                <w:sz w:val="16"/>
              </w:rPr>
              <w:t>Class F Prec</w:t>
            </w:r>
          </w:p>
        </w:tc>
      </w:tr>
      <w:tr>
        <w:tc>
          <w:tcPr>
            <w:tcW w:type="dxa" w:w="1337"/>
            <w:shd w:fill="FFFFFF"/>
            <w:tcMar>
              <w:top w:w="50" w:type="dxa"/>
              <w:bottom w:w="50" w:type="dxa"/>
              <w:left w:w="60" w:type="dxa"/>
              <w:right w:w="60" w:type="dxa"/>
            </w:tcMar>
          </w:tcPr>
          <w:p>
            <w:pPr>
              <w:spacing w:after="0"/>
            </w:pPr>
            <w:r>
              <w:rPr>
                <w:rFonts w:ascii="Arial" w:hAnsi="Arial"/>
                <w:b/>
                <w:color w:val="222222"/>
                <w:sz w:val="16"/>
              </w:rPr>
              <w:t>Multinomial LogReg (Unweighted)</w:t>
            </w:r>
          </w:p>
        </w:tc>
        <w:tc>
          <w:tcPr>
            <w:tcW w:type="dxa" w:w="1337"/>
            <w:shd w:fill="FFFFFF"/>
            <w:tcMar>
              <w:top w:w="50" w:type="dxa"/>
              <w:bottom w:w="50" w:type="dxa"/>
              <w:left w:w="60" w:type="dxa"/>
              <w:right w:w="60" w:type="dxa"/>
            </w:tcMar>
          </w:tcPr>
          <w:p>
            <w:pPr>
              <w:spacing w:after="0"/>
            </w:pPr>
            <w:r>
              <w:rPr>
                <w:rFonts w:ascii="Arial" w:hAnsi="Arial"/>
                <w:color w:val="222222"/>
                <w:sz w:val="16"/>
              </w:rPr>
              <w:t>0.3444</w:t>
            </w:r>
          </w:p>
        </w:tc>
        <w:tc>
          <w:tcPr>
            <w:tcW w:type="dxa" w:w="1337"/>
            <w:shd w:fill="FFFFFF"/>
            <w:tcMar>
              <w:top w:w="50" w:type="dxa"/>
              <w:bottom w:w="50" w:type="dxa"/>
              <w:left w:w="60" w:type="dxa"/>
              <w:right w:w="60" w:type="dxa"/>
            </w:tcMar>
          </w:tcPr>
          <w:p>
            <w:pPr>
              <w:spacing w:after="0"/>
            </w:pPr>
            <w:r>
              <w:rPr>
                <w:rFonts w:ascii="Arial" w:hAnsi="Arial"/>
                <w:color w:val="222222"/>
                <w:sz w:val="16"/>
              </w:rPr>
              <w:t>0.3329</w:t>
            </w:r>
          </w:p>
        </w:tc>
        <w:tc>
          <w:tcPr>
            <w:tcW w:type="dxa" w:w="1337"/>
            <w:shd w:fill="FFFFFF"/>
            <w:tcMar>
              <w:top w:w="50" w:type="dxa"/>
              <w:bottom w:w="50" w:type="dxa"/>
              <w:left w:w="60" w:type="dxa"/>
              <w:right w:w="60" w:type="dxa"/>
            </w:tcMar>
          </w:tcPr>
          <w:p>
            <w:pPr>
              <w:spacing w:after="0"/>
            </w:pPr>
            <w:r>
              <w:rPr>
                <w:rFonts w:ascii="Arial" w:hAnsi="Arial"/>
                <w:color w:val="222222"/>
                <w:sz w:val="16"/>
              </w:rPr>
              <w:t>0.3004</w:t>
            </w:r>
          </w:p>
        </w:tc>
        <w:tc>
          <w:tcPr>
            <w:tcW w:type="dxa" w:w="1337"/>
            <w:shd w:fill="FFFFFF"/>
            <w:tcMar>
              <w:top w:w="50" w:type="dxa"/>
              <w:bottom w:w="50" w:type="dxa"/>
              <w:left w:w="60" w:type="dxa"/>
              <w:right w:w="60" w:type="dxa"/>
            </w:tcMar>
          </w:tcPr>
          <w:p>
            <w:pPr>
              <w:spacing w:after="0"/>
            </w:pPr>
            <w:r>
              <w:rPr>
                <w:rFonts w:ascii="Arial" w:hAnsi="Arial"/>
                <w:color w:val="222222"/>
                <w:sz w:val="16"/>
              </w:rPr>
              <w:t>0.2724</w:t>
            </w:r>
          </w:p>
        </w:tc>
        <w:tc>
          <w:tcPr>
            <w:tcW w:type="dxa" w:w="1337"/>
            <w:shd w:fill="FFFFFF"/>
            <w:tcMar>
              <w:top w:w="50" w:type="dxa"/>
              <w:bottom w:w="50" w:type="dxa"/>
              <w:left w:w="60" w:type="dxa"/>
              <w:right w:w="60" w:type="dxa"/>
            </w:tcMar>
          </w:tcPr>
          <w:p>
            <w:pPr>
              <w:spacing w:after="0"/>
            </w:pPr>
            <w:r>
              <w:rPr>
                <w:rFonts w:ascii="Arial" w:hAnsi="Arial"/>
                <w:color w:val="222222"/>
                <w:sz w:val="16"/>
              </w:rPr>
              <w:t>13.7%</w:t>
            </w:r>
          </w:p>
        </w:tc>
        <w:tc>
          <w:tcPr>
            <w:tcW w:type="dxa" w:w="1337"/>
            <w:shd w:fill="FFFFFF"/>
            <w:tcMar>
              <w:top w:w="50" w:type="dxa"/>
              <w:bottom w:w="50" w:type="dxa"/>
              <w:left w:w="60" w:type="dxa"/>
              <w:right w:w="60" w:type="dxa"/>
            </w:tcMar>
          </w:tcPr>
          <w:p>
            <w:pPr>
              <w:spacing w:after="0"/>
            </w:pPr>
            <w:r>
              <w:rPr>
                <w:rFonts w:ascii="Arial" w:hAnsi="Arial"/>
                <w:color w:val="222222"/>
                <w:sz w:val="16"/>
              </w:rPr>
              <w:t>64.5%</w:t>
            </w:r>
          </w:p>
        </w:tc>
      </w:tr>
      <w:tr>
        <w:tc>
          <w:tcPr>
            <w:tcW w:type="dxa" w:w="1337"/>
            <w:shd w:fill="F9FAFC"/>
            <w:tcMar>
              <w:top w:w="50" w:type="dxa"/>
              <w:bottom w:w="50" w:type="dxa"/>
              <w:left w:w="60" w:type="dxa"/>
              <w:right w:w="60" w:type="dxa"/>
            </w:tcMar>
          </w:tcPr>
          <w:p>
            <w:pPr>
              <w:spacing w:after="0"/>
            </w:pPr>
            <w:r>
              <w:rPr>
                <w:rFonts w:ascii="Arial" w:hAnsi="Arial"/>
                <w:b/>
                <w:color w:val="222222"/>
                <w:sz w:val="16"/>
              </w:rPr>
              <w:t>Multinomial LogReg (Balanced)</w:t>
            </w:r>
          </w:p>
        </w:tc>
        <w:tc>
          <w:tcPr>
            <w:tcW w:type="dxa" w:w="1337"/>
            <w:shd w:fill="F9FAFC"/>
            <w:tcMar>
              <w:top w:w="50" w:type="dxa"/>
              <w:bottom w:w="50" w:type="dxa"/>
              <w:left w:w="60" w:type="dxa"/>
              <w:right w:w="60" w:type="dxa"/>
            </w:tcMar>
          </w:tcPr>
          <w:p>
            <w:pPr>
              <w:spacing w:after="0"/>
            </w:pPr>
            <w:r>
              <w:rPr>
                <w:rFonts w:ascii="Arial" w:hAnsi="Arial"/>
                <w:color w:val="222222"/>
                <w:sz w:val="16"/>
              </w:rPr>
              <w:t>0.2934</w:t>
            </w:r>
          </w:p>
        </w:tc>
        <w:tc>
          <w:tcPr>
            <w:tcW w:type="dxa" w:w="1337"/>
            <w:shd w:fill="F9FAFC"/>
            <w:tcMar>
              <w:top w:w="50" w:type="dxa"/>
              <w:bottom w:w="50" w:type="dxa"/>
              <w:left w:w="60" w:type="dxa"/>
              <w:right w:w="60" w:type="dxa"/>
            </w:tcMar>
          </w:tcPr>
          <w:p>
            <w:pPr>
              <w:spacing w:after="0"/>
            </w:pPr>
            <w:r>
              <w:rPr>
                <w:rFonts w:ascii="Arial" w:hAnsi="Arial"/>
                <w:color w:val="222222"/>
                <w:sz w:val="16"/>
              </w:rPr>
              <w:t>0.2782</w:t>
            </w:r>
          </w:p>
        </w:tc>
        <w:tc>
          <w:tcPr>
            <w:tcW w:type="dxa" w:w="1337"/>
            <w:shd w:fill="F9FAFC"/>
            <w:tcMar>
              <w:top w:w="50" w:type="dxa"/>
              <w:bottom w:w="50" w:type="dxa"/>
              <w:left w:w="60" w:type="dxa"/>
              <w:right w:w="60" w:type="dxa"/>
            </w:tcMar>
          </w:tcPr>
          <w:p>
            <w:pPr>
              <w:spacing w:after="0"/>
            </w:pPr>
            <w:r>
              <w:rPr>
                <w:rFonts w:ascii="Arial" w:hAnsi="Arial"/>
                <w:color w:val="222222"/>
                <w:sz w:val="16"/>
              </w:rPr>
              <w:t>0.3568</w:t>
            </w:r>
          </w:p>
        </w:tc>
        <w:tc>
          <w:tcPr>
            <w:tcW w:type="dxa" w:w="1337"/>
            <w:shd w:fill="F9FAFC"/>
            <w:tcMar>
              <w:top w:w="50" w:type="dxa"/>
              <w:bottom w:w="50" w:type="dxa"/>
              <w:left w:w="60" w:type="dxa"/>
              <w:right w:w="60" w:type="dxa"/>
            </w:tcMar>
          </w:tcPr>
          <w:p>
            <w:pPr>
              <w:spacing w:after="0"/>
            </w:pPr>
            <w:r>
              <w:rPr>
                <w:rFonts w:ascii="Arial" w:hAnsi="Arial"/>
                <w:color w:val="222222"/>
                <w:sz w:val="16"/>
              </w:rPr>
              <w:t>0.2879</w:t>
            </w:r>
          </w:p>
        </w:tc>
        <w:tc>
          <w:tcPr>
            <w:tcW w:type="dxa" w:w="1337"/>
            <w:shd w:fill="F9FAFC"/>
            <w:tcMar>
              <w:top w:w="50" w:type="dxa"/>
              <w:bottom w:w="50" w:type="dxa"/>
              <w:left w:w="60" w:type="dxa"/>
              <w:right w:w="60" w:type="dxa"/>
            </w:tcMar>
          </w:tcPr>
          <w:p>
            <w:pPr>
              <w:spacing w:after="0"/>
            </w:pPr>
            <w:r>
              <w:rPr>
                <w:rFonts w:ascii="Arial" w:hAnsi="Arial"/>
                <w:color w:val="222222"/>
                <w:sz w:val="16"/>
              </w:rPr>
              <w:t>77.4%</w:t>
            </w:r>
          </w:p>
        </w:tc>
        <w:tc>
          <w:tcPr>
            <w:tcW w:type="dxa" w:w="1337"/>
            <w:shd w:fill="F9FAFC"/>
            <w:tcMar>
              <w:top w:w="50" w:type="dxa"/>
              <w:bottom w:w="50" w:type="dxa"/>
              <w:left w:w="60" w:type="dxa"/>
              <w:right w:w="60" w:type="dxa"/>
            </w:tcMar>
          </w:tcPr>
          <w:p>
            <w:pPr>
              <w:spacing w:after="0"/>
            </w:pPr>
            <w:r>
              <w:rPr>
                <w:rFonts w:ascii="Arial" w:hAnsi="Arial"/>
                <w:color w:val="222222"/>
                <w:sz w:val="16"/>
              </w:rPr>
              <w:t>11.1%</w:t>
            </w:r>
          </w:p>
        </w:tc>
      </w:tr>
      <w:tr>
        <w:tc>
          <w:tcPr>
            <w:tcW w:type="dxa" w:w="1337"/>
            <w:shd w:fill="FFFFFF"/>
            <w:tcMar>
              <w:top w:w="50" w:type="dxa"/>
              <w:bottom w:w="50" w:type="dxa"/>
              <w:left w:w="60" w:type="dxa"/>
              <w:right w:w="60" w:type="dxa"/>
            </w:tcMar>
          </w:tcPr>
          <w:p>
            <w:pPr>
              <w:spacing w:after="0"/>
            </w:pPr>
            <w:r>
              <w:rPr>
                <w:rFonts w:ascii="Arial" w:hAnsi="Arial"/>
                <w:b/>
                <w:color w:val="222222"/>
                <w:sz w:val="16"/>
              </w:rPr>
              <w:t>Decision Tree (Unweighted)</w:t>
            </w:r>
          </w:p>
        </w:tc>
        <w:tc>
          <w:tcPr>
            <w:tcW w:type="dxa" w:w="1337"/>
            <w:shd w:fill="FFFFFF"/>
            <w:tcMar>
              <w:top w:w="50" w:type="dxa"/>
              <w:bottom w:w="50" w:type="dxa"/>
              <w:left w:w="60" w:type="dxa"/>
              <w:right w:w="60" w:type="dxa"/>
            </w:tcMar>
          </w:tcPr>
          <w:p>
            <w:pPr>
              <w:spacing w:after="0"/>
            </w:pPr>
            <w:r>
              <w:rPr>
                <w:rFonts w:ascii="Arial" w:hAnsi="Arial"/>
                <w:color w:val="222222"/>
                <w:sz w:val="16"/>
              </w:rPr>
              <w:t>0.3397</w:t>
            </w:r>
          </w:p>
        </w:tc>
        <w:tc>
          <w:tcPr>
            <w:tcW w:type="dxa" w:w="1337"/>
            <w:shd w:fill="FFFFFF"/>
            <w:tcMar>
              <w:top w:w="50" w:type="dxa"/>
              <w:bottom w:w="50" w:type="dxa"/>
              <w:left w:w="60" w:type="dxa"/>
              <w:right w:w="60" w:type="dxa"/>
            </w:tcMar>
          </w:tcPr>
          <w:p>
            <w:pPr>
              <w:spacing w:after="0"/>
            </w:pPr>
            <w:r>
              <w:rPr>
                <w:rFonts w:ascii="Arial" w:hAnsi="Arial"/>
                <w:color w:val="222222"/>
                <w:sz w:val="16"/>
              </w:rPr>
              <w:t>0.3576</w:t>
            </w:r>
          </w:p>
        </w:tc>
        <w:tc>
          <w:tcPr>
            <w:tcW w:type="dxa" w:w="1337"/>
            <w:shd w:fill="FFFFFF"/>
            <w:tcMar>
              <w:top w:w="50" w:type="dxa"/>
              <w:bottom w:w="50" w:type="dxa"/>
              <w:left w:w="60" w:type="dxa"/>
              <w:right w:w="60" w:type="dxa"/>
            </w:tcMar>
          </w:tcPr>
          <w:p>
            <w:pPr>
              <w:spacing w:after="0"/>
            </w:pPr>
            <w:r>
              <w:rPr>
                <w:rFonts w:ascii="Arial" w:hAnsi="Arial"/>
                <w:color w:val="222222"/>
                <w:sz w:val="16"/>
              </w:rPr>
              <w:t>0.2974</w:t>
            </w:r>
          </w:p>
        </w:tc>
        <w:tc>
          <w:tcPr>
            <w:tcW w:type="dxa" w:w="1337"/>
            <w:shd w:fill="FFFFFF"/>
            <w:tcMar>
              <w:top w:w="50" w:type="dxa"/>
              <w:bottom w:w="50" w:type="dxa"/>
              <w:left w:w="60" w:type="dxa"/>
              <w:right w:w="60" w:type="dxa"/>
            </w:tcMar>
          </w:tcPr>
          <w:p>
            <w:pPr>
              <w:spacing w:after="0"/>
            </w:pPr>
            <w:r>
              <w:rPr>
                <w:rFonts w:ascii="Arial" w:hAnsi="Arial"/>
                <w:color w:val="222222"/>
                <w:sz w:val="16"/>
              </w:rPr>
              <w:t>0.2881</w:t>
            </w:r>
          </w:p>
        </w:tc>
        <w:tc>
          <w:tcPr>
            <w:tcW w:type="dxa" w:w="1337"/>
            <w:shd w:fill="FFFFFF"/>
            <w:tcMar>
              <w:top w:w="50" w:type="dxa"/>
              <w:bottom w:w="50" w:type="dxa"/>
              <w:left w:w="60" w:type="dxa"/>
              <w:right w:w="60" w:type="dxa"/>
            </w:tcMar>
          </w:tcPr>
          <w:p>
            <w:pPr>
              <w:spacing w:after="0"/>
            </w:pPr>
            <w:r>
              <w:rPr>
                <w:rFonts w:ascii="Arial" w:hAnsi="Arial"/>
                <w:color w:val="222222"/>
                <w:sz w:val="16"/>
              </w:rPr>
              <w:t>17.8%</w:t>
            </w:r>
          </w:p>
        </w:tc>
        <w:tc>
          <w:tcPr>
            <w:tcW w:type="dxa" w:w="1337"/>
            <w:shd w:fill="FFFFFF"/>
            <w:tcMar>
              <w:top w:w="50" w:type="dxa"/>
              <w:bottom w:w="50" w:type="dxa"/>
              <w:left w:w="60" w:type="dxa"/>
              <w:right w:w="60" w:type="dxa"/>
            </w:tcMar>
          </w:tcPr>
          <w:p>
            <w:pPr>
              <w:spacing w:after="0"/>
            </w:pPr>
            <w:r>
              <w:rPr>
                <w:rFonts w:ascii="Arial" w:hAnsi="Arial"/>
                <w:color w:val="222222"/>
                <w:sz w:val="16"/>
              </w:rPr>
              <w:t>56.5%</w:t>
            </w:r>
          </w:p>
        </w:tc>
      </w:tr>
      <w:tr>
        <w:tc>
          <w:tcPr>
            <w:tcW w:type="dxa" w:w="1337"/>
            <w:shd w:fill="F9FAFC"/>
            <w:tcMar>
              <w:top w:w="50" w:type="dxa"/>
              <w:bottom w:w="50" w:type="dxa"/>
              <w:left w:w="60" w:type="dxa"/>
              <w:right w:w="60" w:type="dxa"/>
            </w:tcMar>
          </w:tcPr>
          <w:p>
            <w:pPr>
              <w:spacing w:after="0"/>
            </w:pPr>
            <w:r>
              <w:rPr>
                <w:rFonts w:ascii="Arial" w:hAnsi="Arial"/>
                <w:b/>
                <w:color w:val="222222"/>
                <w:sz w:val="16"/>
              </w:rPr>
              <w:t>Decision Tree (Balanced)</w:t>
            </w:r>
          </w:p>
        </w:tc>
        <w:tc>
          <w:tcPr>
            <w:tcW w:type="dxa" w:w="1337"/>
            <w:shd w:fill="F9FAFC"/>
            <w:tcMar>
              <w:top w:w="50" w:type="dxa"/>
              <w:bottom w:w="50" w:type="dxa"/>
              <w:left w:w="60" w:type="dxa"/>
              <w:right w:w="60" w:type="dxa"/>
            </w:tcMar>
          </w:tcPr>
          <w:p>
            <w:pPr>
              <w:spacing w:after="0"/>
            </w:pPr>
            <w:r>
              <w:rPr>
                <w:rFonts w:ascii="Arial" w:hAnsi="Arial"/>
                <w:color w:val="222222"/>
                <w:sz w:val="16"/>
              </w:rPr>
              <w:t>0.2927</w:t>
            </w:r>
          </w:p>
        </w:tc>
        <w:tc>
          <w:tcPr>
            <w:tcW w:type="dxa" w:w="1337"/>
            <w:shd w:fill="F9FAFC"/>
            <w:tcMar>
              <w:top w:w="50" w:type="dxa"/>
              <w:bottom w:w="50" w:type="dxa"/>
              <w:left w:w="60" w:type="dxa"/>
              <w:right w:w="60" w:type="dxa"/>
            </w:tcMar>
          </w:tcPr>
          <w:p>
            <w:pPr>
              <w:spacing w:after="0"/>
            </w:pPr>
            <w:r>
              <w:rPr>
                <w:rFonts w:ascii="Arial" w:hAnsi="Arial"/>
                <w:color w:val="222222"/>
                <w:sz w:val="16"/>
              </w:rPr>
              <w:t>0.2762</w:t>
            </w:r>
          </w:p>
        </w:tc>
        <w:tc>
          <w:tcPr>
            <w:tcW w:type="dxa" w:w="1337"/>
            <w:shd w:fill="F9FAFC"/>
            <w:tcMar>
              <w:top w:w="50" w:type="dxa"/>
              <w:bottom w:w="50" w:type="dxa"/>
              <w:left w:w="60" w:type="dxa"/>
              <w:right w:w="60" w:type="dxa"/>
            </w:tcMar>
          </w:tcPr>
          <w:p>
            <w:pPr>
              <w:spacing w:after="0"/>
            </w:pPr>
            <w:r>
              <w:rPr>
                <w:rFonts w:ascii="Arial" w:hAnsi="Arial"/>
                <w:color w:val="222222"/>
                <w:sz w:val="16"/>
              </w:rPr>
              <w:t>0.3497</w:t>
            </w:r>
          </w:p>
        </w:tc>
        <w:tc>
          <w:tcPr>
            <w:tcW w:type="dxa" w:w="1337"/>
            <w:shd w:fill="F9FAFC"/>
            <w:tcMar>
              <w:top w:w="50" w:type="dxa"/>
              <w:bottom w:w="50" w:type="dxa"/>
              <w:left w:w="60" w:type="dxa"/>
              <w:right w:w="60" w:type="dxa"/>
            </w:tcMar>
          </w:tcPr>
          <w:p>
            <w:pPr>
              <w:spacing w:after="0"/>
            </w:pPr>
            <w:r>
              <w:rPr>
                <w:rFonts w:ascii="Arial" w:hAnsi="Arial"/>
                <w:color w:val="222222"/>
                <w:sz w:val="16"/>
              </w:rPr>
              <w:t>0.2811</w:t>
            </w:r>
          </w:p>
        </w:tc>
        <w:tc>
          <w:tcPr>
            <w:tcW w:type="dxa" w:w="1337"/>
            <w:shd w:fill="F9FAFC"/>
            <w:tcMar>
              <w:top w:w="50" w:type="dxa"/>
              <w:bottom w:w="50" w:type="dxa"/>
              <w:left w:w="60" w:type="dxa"/>
              <w:right w:w="60" w:type="dxa"/>
            </w:tcMar>
          </w:tcPr>
          <w:p>
            <w:pPr>
              <w:spacing w:after="0"/>
            </w:pPr>
            <w:r>
              <w:rPr>
                <w:rFonts w:ascii="Arial" w:hAnsi="Arial"/>
                <w:color w:val="222222"/>
                <w:sz w:val="16"/>
              </w:rPr>
              <w:t>65.1%</w:t>
            </w:r>
          </w:p>
        </w:tc>
        <w:tc>
          <w:tcPr>
            <w:tcW w:type="dxa" w:w="1337"/>
            <w:shd w:fill="F9FAFC"/>
            <w:tcMar>
              <w:top w:w="50" w:type="dxa"/>
              <w:bottom w:w="50" w:type="dxa"/>
              <w:left w:w="60" w:type="dxa"/>
              <w:right w:w="60" w:type="dxa"/>
            </w:tcMar>
          </w:tcPr>
          <w:p>
            <w:pPr>
              <w:spacing w:after="0"/>
            </w:pPr>
            <w:r>
              <w:rPr>
                <w:rFonts w:ascii="Arial" w:hAnsi="Arial"/>
                <w:color w:val="222222"/>
                <w:sz w:val="16"/>
              </w:rPr>
              <w:t>8.1%</w:t>
            </w:r>
          </w:p>
        </w:tc>
      </w:tr>
      <w:tr>
        <w:tc>
          <w:tcPr>
            <w:tcW w:type="dxa" w:w="1337"/>
            <w:shd w:fill="FFFFFF"/>
            <w:tcMar>
              <w:top w:w="50" w:type="dxa"/>
              <w:bottom w:w="50" w:type="dxa"/>
              <w:left w:w="60" w:type="dxa"/>
              <w:right w:w="60" w:type="dxa"/>
            </w:tcMar>
          </w:tcPr>
          <w:p>
            <w:pPr>
              <w:spacing w:after="0"/>
            </w:pPr>
            <w:r>
              <w:rPr>
                <w:rFonts w:ascii="Arial" w:hAnsi="Arial"/>
                <w:b/>
                <w:color w:val="222222"/>
                <w:sz w:val="16"/>
              </w:rPr>
              <w:t>Random Forest (Unweighted)</w:t>
            </w:r>
          </w:p>
        </w:tc>
        <w:tc>
          <w:tcPr>
            <w:tcW w:type="dxa" w:w="1337"/>
            <w:shd w:fill="FFFFFF"/>
            <w:tcMar>
              <w:top w:w="50" w:type="dxa"/>
              <w:bottom w:w="50" w:type="dxa"/>
              <w:left w:w="60" w:type="dxa"/>
              <w:right w:w="60" w:type="dxa"/>
            </w:tcMar>
          </w:tcPr>
          <w:p>
            <w:pPr>
              <w:spacing w:after="0"/>
            </w:pPr>
            <w:r>
              <w:rPr>
                <w:rFonts w:ascii="Arial" w:hAnsi="Arial"/>
                <w:color w:val="222222"/>
                <w:sz w:val="16"/>
              </w:rPr>
              <w:t>0.3412</w:t>
            </w:r>
          </w:p>
        </w:tc>
        <w:tc>
          <w:tcPr>
            <w:tcW w:type="dxa" w:w="1337"/>
            <w:shd w:fill="FFFFFF"/>
            <w:tcMar>
              <w:top w:w="50" w:type="dxa"/>
              <w:bottom w:w="50" w:type="dxa"/>
              <w:left w:w="60" w:type="dxa"/>
              <w:right w:w="60" w:type="dxa"/>
            </w:tcMar>
          </w:tcPr>
          <w:p>
            <w:pPr>
              <w:spacing w:after="0"/>
            </w:pPr>
            <w:r>
              <w:rPr>
                <w:rFonts w:ascii="Arial" w:hAnsi="Arial"/>
                <w:color w:val="222222"/>
                <w:sz w:val="16"/>
              </w:rPr>
              <w:t>0.3118</w:t>
            </w:r>
          </w:p>
        </w:tc>
        <w:tc>
          <w:tcPr>
            <w:tcW w:type="dxa" w:w="1337"/>
            <w:shd w:fill="FFFFFF"/>
            <w:tcMar>
              <w:top w:w="50" w:type="dxa"/>
              <w:bottom w:w="50" w:type="dxa"/>
              <w:left w:w="60" w:type="dxa"/>
              <w:right w:w="60" w:type="dxa"/>
            </w:tcMar>
          </w:tcPr>
          <w:p>
            <w:pPr>
              <w:spacing w:after="0"/>
            </w:pPr>
            <w:r>
              <w:rPr>
                <w:rFonts w:ascii="Arial" w:hAnsi="Arial"/>
                <w:color w:val="222222"/>
                <w:sz w:val="16"/>
              </w:rPr>
              <w:t>0.2792</w:t>
            </w:r>
          </w:p>
        </w:tc>
        <w:tc>
          <w:tcPr>
            <w:tcW w:type="dxa" w:w="1337"/>
            <w:shd w:fill="FFFFFF"/>
            <w:tcMar>
              <w:top w:w="50" w:type="dxa"/>
              <w:bottom w:w="50" w:type="dxa"/>
              <w:left w:w="60" w:type="dxa"/>
              <w:right w:w="60" w:type="dxa"/>
            </w:tcMar>
          </w:tcPr>
          <w:p>
            <w:pPr>
              <w:spacing w:after="0"/>
            </w:pPr>
            <w:r>
              <w:rPr>
                <w:rFonts w:ascii="Arial" w:hAnsi="Arial"/>
                <w:color w:val="222222"/>
                <w:sz w:val="16"/>
              </w:rPr>
              <w:t>0.2413</w:t>
            </w:r>
          </w:p>
        </w:tc>
        <w:tc>
          <w:tcPr>
            <w:tcW w:type="dxa" w:w="1337"/>
            <w:shd w:fill="FFFFFF"/>
            <w:tcMar>
              <w:top w:w="50" w:type="dxa"/>
              <w:bottom w:w="50" w:type="dxa"/>
              <w:left w:w="60" w:type="dxa"/>
              <w:right w:w="60" w:type="dxa"/>
            </w:tcMar>
          </w:tcPr>
          <w:p>
            <w:pPr>
              <w:spacing w:after="0"/>
            </w:pPr>
            <w:r>
              <w:rPr>
                <w:rFonts w:ascii="Arial" w:hAnsi="Arial"/>
                <w:color w:val="222222"/>
                <w:sz w:val="16"/>
              </w:rPr>
              <w:t>0.0%</w:t>
            </w:r>
          </w:p>
        </w:tc>
        <w:tc>
          <w:tcPr>
            <w:tcW w:type="dxa" w:w="1337"/>
            <w:shd w:fill="FFFFFF"/>
            <w:tcMar>
              <w:top w:w="50" w:type="dxa"/>
              <w:bottom w:w="50" w:type="dxa"/>
              <w:left w:w="60" w:type="dxa"/>
              <w:right w:w="60" w:type="dxa"/>
            </w:tcMar>
          </w:tcPr>
          <w:p>
            <w:pPr>
              <w:spacing w:after="0"/>
            </w:pPr>
            <w:r>
              <w:rPr>
                <w:rFonts w:ascii="Arial" w:hAnsi="Arial"/>
                <w:color w:val="222222"/>
                <w:sz w:val="16"/>
              </w:rPr>
              <w:t>0.0%</w:t>
            </w:r>
          </w:p>
        </w:tc>
      </w:tr>
      <w:tr>
        <w:tc>
          <w:tcPr>
            <w:tcW w:type="dxa" w:w="1337"/>
            <w:shd w:fill="F9FAFC"/>
            <w:tcMar>
              <w:top w:w="50" w:type="dxa"/>
              <w:bottom w:w="50" w:type="dxa"/>
              <w:left w:w="60" w:type="dxa"/>
              <w:right w:w="60" w:type="dxa"/>
            </w:tcMar>
          </w:tcPr>
          <w:p>
            <w:pPr>
              <w:spacing w:after="0"/>
            </w:pPr>
            <w:r>
              <w:rPr>
                <w:rFonts w:ascii="Arial" w:hAnsi="Arial"/>
                <w:b/>
                <w:color w:val="222222"/>
                <w:sz w:val="16"/>
              </w:rPr>
              <w:t>Random Forest (Balanced)</w:t>
            </w:r>
          </w:p>
        </w:tc>
        <w:tc>
          <w:tcPr>
            <w:tcW w:type="dxa" w:w="1337"/>
            <w:shd w:fill="F9FAFC"/>
            <w:tcMar>
              <w:top w:w="50" w:type="dxa"/>
              <w:bottom w:w="50" w:type="dxa"/>
              <w:left w:w="60" w:type="dxa"/>
              <w:right w:w="60" w:type="dxa"/>
            </w:tcMar>
          </w:tcPr>
          <w:p>
            <w:pPr>
              <w:spacing w:after="0"/>
            </w:pPr>
            <w:r>
              <w:rPr>
                <w:rFonts w:ascii="Arial" w:hAnsi="Arial"/>
                <w:color w:val="222222"/>
                <w:sz w:val="16"/>
              </w:rPr>
              <w:t>0.2960</w:t>
            </w:r>
          </w:p>
        </w:tc>
        <w:tc>
          <w:tcPr>
            <w:tcW w:type="dxa" w:w="1337"/>
            <w:shd w:fill="F9FAFC"/>
            <w:tcMar>
              <w:top w:w="50" w:type="dxa"/>
              <w:bottom w:w="50" w:type="dxa"/>
              <w:left w:w="60" w:type="dxa"/>
              <w:right w:w="60" w:type="dxa"/>
            </w:tcMar>
          </w:tcPr>
          <w:p>
            <w:pPr>
              <w:spacing w:after="0"/>
            </w:pPr>
            <w:r>
              <w:rPr>
                <w:rFonts w:ascii="Arial" w:hAnsi="Arial"/>
                <w:color w:val="222222"/>
                <w:sz w:val="16"/>
              </w:rPr>
              <w:t>0.2996</w:t>
            </w:r>
          </w:p>
        </w:tc>
        <w:tc>
          <w:tcPr>
            <w:tcW w:type="dxa" w:w="1337"/>
            <w:shd w:fill="F9FAFC"/>
            <w:tcMar>
              <w:top w:w="50" w:type="dxa"/>
              <w:bottom w:w="50" w:type="dxa"/>
              <w:left w:w="60" w:type="dxa"/>
              <w:right w:w="60" w:type="dxa"/>
            </w:tcMar>
          </w:tcPr>
          <w:p>
            <w:pPr>
              <w:spacing w:after="0"/>
            </w:pPr>
            <w:r>
              <w:rPr>
                <w:rFonts w:ascii="Arial" w:hAnsi="Arial"/>
                <w:color w:val="222222"/>
                <w:sz w:val="16"/>
              </w:rPr>
              <w:t>0.3351</w:t>
            </w:r>
          </w:p>
        </w:tc>
        <w:tc>
          <w:tcPr>
            <w:tcW w:type="dxa" w:w="1337"/>
            <w:shd w:fill="F9FAFC"/>
            <w:tcMar>
              <w:top w:w="50" w:type="dxa"/>
              <w:bottom w:w="50" w:type="dxa"/>
              <w:left w:w="60" w:type="dxa"/>
              <w:right w:w="60" w:type="dxa"/>
            </w:tcMar>
          </w:tcPr>
          <w:p>
            <w:pPr>
              <w:spacing w:after="0"/>
            </w:pPr>
            <w:r>
              <w:rPr>
                <w:rFonts w:ascii="Arial" w:hAnsi="Arial"/>
                <w:color w:val="222222"/>
                <w:sz w:val="16"/>
              </w:rPr>
              <w:t>0.3084</w:t>
            </w:r>
          </w:p>
        </w:tc>
        <w:tc>
          <w:tcPr>
            <w:tcW w:type="dxa" w:w="1337"/>
            <w:shd w:fill="F9FAFC"/>
            <w:tcMar>
              <w:top w:w="50" w:type="dxa"/>
              <w:bottom w:w="50" w:type="dxa"/>
              <w:left w:w="60" w:type="dxa"/>
              <w:right w:w="60" w:type="dxa"/>
            </w:tcMar>
          </w:tcPr>
          <w:p>
            <w:pPr>
              <w:spacing w:after="0"/>
            </w:pPr>
            <w:r>
              <w:rPr>
                <w:rFonts w:ascii="Arial" w:hAnsi="Arial"/>
                <w:color w:val="222222"/>
                <w:sz w:val="16"/>
              </w:rPr>
              <w:t>41.8%</w:t>
            </w:r>
          </w:p>
        </w:tc>
        <w:tc>
          <w:tcPr>
            <w:tcW w:type="dxa" w:w="1337"/>
            <w:shd w:fill="F9FAFC"/>
            <w:tcMar>
              <w:top w:w="50" w:type="dxa"/>
              <w:bottom w:w="50" w:type="dxa"/>
              <w:left w:w="60" w:type="dxa"/>
              <w:right w:w="60" w:type="dxa"/>
            </w:tcMar>
          </w:tcPr>
          <w:p>
            <w:pPr>
              <w:spacing w:after="0"/>
            </w:pPr>
            <w:r>
              <w:rPr>
                <w:rFonts w:ascii="Arial" w:hAnsi="Arial"/>
                <w:color w:val="222222"/>
                <w:sz w:val="16"/>
              </w:rPr>
              <w:t>23.3%</w:t>
            </w:r>
          </w:p>
        </w:tc>
      </w:tr>
      <w:tr>
        <w:tc>
          <w:tcPr>
            <w:tcW w:type="dxa" w:w="1337"/>
            <w:shd w:fill="FFFFFF"/>
            <w:tcMar>
              <w:top w:w="50" w:type="dxa"/>
              <w:bottom w:w="50" w:type="dxa"/>
              <w:left w:w="60" w:type="dxa"/>
              <w:right w:w="60" w:type="dxa"/>
            </w:tcMar>
          </w:tcPr>
          <w:p>
            <w:pPr>
              <w:spacing w:after="0"/>
            </w:pPr>
            <w:r>
              <w:rPr>
                <w:rFonts w:ascii="Arial" w:hAnsi="Arial"/>
                <w:b/>
                <w:color w:val="222222"/>
                <w:sz w:val="16"/>
              </w:rPr>
              <w:t>LightGBM (Unweighted)</w:t>
            </w:r>
          </w:p>
        </w:tc>
        <w:tc>
          <w:tcPr>
            <w:tcW w:type="dxa" w:w="1337"/>
            <w:shd w:fill="FFFFFF"/>
            <w:tcMar>
              <w:top w:w="50" w:type="dxa"/>
              <w:bottom w:w="50" w:type="dxa"/>
              <w:left w:w="60" w:type="dxa"/>
              <w:right w:w="60" w:type="dxa"/>
            </w:tcMar>
          </w:tcPr>
          <w:p>
            <w:pPr>
              <w:spacing w:after="0"/>
            </w:pPr>
            <w:r>
              <w:rPr>
                <w:rFonts w:ascii="Arial" w:hAnsi="Arial"/>
                <w:color w:val="222222"/>
                <w:sz w:val="16"/>
              </w:rPr>
              <w:t>0.3364</w:t>
            </w:r>
          </w:p>
        </w:tc>
        <w:tc>
          <w:tcPr>
            <w:tcW w:type="dxa" w:w="1337"/>
            <w:shd w:fill="FFFFFF"/>
            <w:tcMar>
              <w:top w:w="50" w:type="dxa"/>
              <w:bottom w:w="50" w:type="dxa"/>
              <w:left w:w="60" w:type="dxa"/>
              <w:right w:w="60" w:type="dxa"/>
            </w:tcMar>
          </w:tcPr>
          <w:p>
            <w:pPr>
              <w:spacing w:after="0"/>
            </w:pPr>
            <w:r>
              <w:rPr>
                <w:rFonts w:ascii="Arial" w:hAnsi="Arial"/>
                <w:color w:val="222222"/>
                <w:sz w:val="16"/>
              </w:rPr>
              <w:t>0.3296</w:t>
            </w:r>
          </w:p>
        </w:tc>
        <w:tc>
          <w:tcPr>
            <w:tcW w:type="dxa" w:w="1337"/>
            <w:shd w:fill="FFFFFF"/>
            <w:tcMar>
              <w:top w:w="50" w:type="dxa"/>
              <w:bottom w:w="50" w:type="dxa"/>
              <w:left w:w="60" w:type="dxa"/>
              <w:right w:w="60" w:type="dxa"/>
            </w:tcMar>
          </w:tcPr>
          <w:p>
            <w:pPr>
              <w:spacing w:after="0"/>
            </w:pPr>
            <w:r>
              <w:rPr>
                <w:rFonts w:ascii="Arial" w:hAnsi="Arial"/>
                <w:color w:val="222222"/>
                <w:sz w:val="16"/>
              </w:rPr>
              <w:t>0.2978</w:t>
            </w:r>
          </w:p>
        </w:tc>
        <w:tc>
          <w:tcPr>
            <w:tcW w:type="dxa" w:w="1337"/>
            <w:shd w:fill="FFFFFF"/>
            <w:tcMar>
              <w:top w:w="50" w:type="dxa"/>
              <w:bottom w:w="50" w:type="dxa"/>
              <w:left w:w="60" w:type="dxa"/>
              <w:right w:w="60" w:type="dxa"/>
            </w:tcMar>
          </w:tcPr>
          <w:p>
            <w:pPr>
              <w:spacing w:after="0"/>
            </w:pPr>
            <w:r>
              <w:rPr>
                <w:rFonts w:ascii="Arial" w:hAnsi="Arial"/>
                <w:color w:val="222222"/>
                <w:sz w:val="16"/>
              </w:rPr>
              <w:t>0.2881</w:t>
            </w:r>
          </w:p>
        </w:tc>
        <w:tc>
          <w:tcPr>
            <w:tcW w:type="dxa" w:w="1337"/>
            <w:shd w:fill="FFFFFF"/>
            <w:tcMar>
              <w:top w:w="50" w:type="dxa"/>
              <w:bottom w:w="50" w:type="dxa"/>
              <w:left w:w="60" w:type="dxa"/>
              <w:right w:w="60" w:type="dxa"/>
            </w:tcMar>
          </w:tcPr>
          <w:p>
            <w:pPr>
              <w:spacing w:after="0"/>
            </w:pPr>
            <w:r>
              <w:rPr>
                <w:rFonts w:ascii="Arial" w:hAnsi="Arial"/>
                <w:color w:val="222222"/>
                <w:sz w:val="16"/>
              </w:rPr>
              <w:t>15.1%</w:t>
            </w:r>
          </w:p>
        </w:tc>
        <w:tc>
          <w:tcPr>
            <w:tcW w:type="dxa" w:w="1337"/>
            <w:shd w:fill="FFFFFF"/>
            <w:tcMar>
              <w:top w:w="50" w:type="dxa"/>
              <w:bottom w:w="50" w:type="dxa"/>
              <w:left w:w="60" w:type="dxa"/>
              <w:right w:w="60" w:type="dxa"/>
            </w:tcMar>
          </w:tcPr>
          <w:p>
            <w:pPr>
              <w:spacing w:after="0"/>
            </w:pPr>
            <w:r>
              <w:rPr>
                <w:rFonts w:ascii="Arial" w:hAnsi="Arial"/>
                <w:color w:val="222222"/>
                <w:sz w:val="16"/>
              </w:rPr>
              <w:t>35.5%</w:t>
            </w:r>
          </w:p>
        </w:tc>
      </w:tr>
      <w:tr>
        <w:tc>
          <w:tcPr>
            <w:tcW w:type="dxa" w:w="1337"/>
            <w:shd w:fill="F9FAFC"/>
            <w:tcMar>
              <w:top w:w="50" w:type="dxa"/>
              <w:bottom w:w="50" w:type="dxa"/>
              <w:left w:w="60" w:type="dxa"/>
              <w:right w:w="60" w:type="dxa"/>
            </w:tcMar>
          </w:tcPr>
          <w:p>
            <w:pPr>
              <w:spacing w:after="0"/>
            </w:pPr>
            <w:r>
              <w:rPr>
                <w:rFonts w:ascii="Arial" w:hAnsi="Arial"/>
                <w:b/>
                <w:color w:val="222222"/>
                <w:sz w:val="16"/>
              </w:rPr>
              <w:t>LightGBM (Balanced)</w:t>
            </w:r>
          </w:p>
        </w:tc>
        <w:tc>
          <w:tcPr>
            <w:tcW w:type="dxa" w:w="1337"/>
            <w:shd w:fill="F9FAFC"/>
            <w:tcMar>
              <w:top w:w="50" w:type="dxa"/>
              <w:bottom w:w="50" w:type="dxa"/>
              <w:left w:w="60" w:type="dxa"/>
              <w:right w:w="60" w:type="dxa"/>
            </w:tcMar>
          </w:tcPr>
          <w:p>
            <w:pPr>
              <w:spacing w:after="0"/>
            </w:pPr>
            <w:r>
              <w:rPr>
                <w:rFonts w:ascii="Arial" w:hAnsi="Arial"/>
                <w:color w:val="222222"/>
                <w:sz w:val="16"/>
              </w:rPr>
              <w:t>0.3008</w:t>
            </w:r>
          </w:p>
        </w:tc>
        <w:tc>
          <w:tcPr>
            <w:tcW w:type="dxa" w:w="1337"/>
            <w:shd w:fill="F9FAFC"/>
            <w:tcMar>
              <w:top w:w="50" w:type="dxa"/>
              <w:bottom w:w="50" w:type="dxa"/>
              <w:left w:w="60" w:type="dxa"/>
              <w:right w:w="60" w:type="dxa"/>
            </w:tcMar>
          </w:tcPr>
          <w:p>
            <w:pPr>
              <w:spacing w:after="0"/>
            </w:pPr>
            <w:r>
              <w:rPr>
                <w:rFonts w:ascii="Arial" w:hAnsi="Arial"/>
                <w:color w:val="222222"/>
                <w:sz w:val="16"/>
              </w:rPr>
              <w:t>0.2950</w:t>
            </w:r>
          </w:p>
        </w:tc>
        <w:tc>
          <w:tcPr>
            <w:tcW w:type="dxa" w:w="1337"/>
            <w:shd w:fill="F9FAFC"/>
            <w:tcMar>
              <w:top w:w="50" w:type="dxa"/>
              <w:bottom w:w="50" w:type="dxa"/>
              <w:left w:w="60" w:type="dxa"/>
              <w:right w:w="60" w:type="dxa"/>
            </w:tcMar>
          </w:tcPr>
          <w:p>
            <w:pPr>
              <w:spacing w:after="0"/>
            </w:pPr>
            <w:r>
              <w:rPr>
                <w:rFonts w:ascii="Arial" w:hAnsi="Arial"/>
                <w:color w:val="222222"/>
                <w:sz w:val="16"/>
              </w:rPr>
              <w:t>0.3380</w:t>
            </w:r>
          </w:p>
        </w:tc>
        <w:tc>
          <w:tcPr>
            <w:tcW w:type="dxa" w:w="1337"/>
            <w:shd w:fill="F9FAFC"/>
            <w:tcMar>
              <w:top w:w="50" w:type="dxa"/>
              <w:bottom w:w="50" w:type="dxa"/>
              <w:left w:w="60" w:type="dxa"/>
              <w:right w:w="60" w:type="dxa"/>
            </w:tcMar>
          </w:tcPr>
          <w:p>
            <w:pPr>
              <w:spacing w:after="0"/>
            </w:pPr>
            <w:r>
              <w:rPr>
                <w:rFonts w:ascii="Arial" w:hAnsi="Arial"/>
                <w:color w:val="222222"/>
                <w:sz w:val="16"/>
              </w:rPr>
              <w:t>0.3079</w:t>
            </w:r>
          </w:p>
        </w:tc>
        <w:tc>
          <w:tcPr>
            <w:tcW w:type="dxa" w:w="1337"/>
            <w:shd w:fill="F9FAFC"/>
            <w:tcMar>
              <w:top w:w="50" w:type="dxa"/>
              <w:bottom w:w="50" w:type="dxa"/>
              <w:left w:w="60" w:type="dxa"/>
              <w:right w:w="60" w:type="dxa"/>
            </w:tcMar>
          </w:tcPr>
          <w:p>
            <w:pPr>
              <w:spacing w:after="0"/>
            </w:pPr>
            <w:r>
              <w:rPr>
                <w:rFonts w:ascii="Arial" w:hAnsi="Arial"/>
                <w:color w:val="222222"/>
                <w:sz w:val="16"/>
              </w:rPr>
              <w:t>42.5%</w:t>
            </w:r>
          </w:p>
        </w:tc>
        <w:tc>
          <w:tcPr>
            <w:tcW w:type="dxa" w:w="1337"/>
            <w:shd w:fill="F9FAFC"/>
            <w:tcMar>
              <w:top w:w="50" w:type="dxa"/>
              <w:bottom w:w="50" w:type="dxa"/>
              <w:left w:w="60" w:type="dxa"/>
              <w:right w:w="60" w:type="dxa"/>
            </w:tcMar>
          </w:tcPr>
          <w:p>
            <w:pPr>
              <w:spacing w:after="0"/>
            </w:pPr>
            <w:r>
              <w:rPr>
                <w:rFonts w:ascii="Arial" w:hAnsi="Arial"/>
                <w:color w:val="222222"/>
                <w:sz w:val="16"/>
              </w:rPr>
              <w:t>21.1%</w:t>
            </w:r>
          </w:p>
        </w:tc>
      </w:tr>
    </w:tbl>
    <w:p>
      <w:pPr>
        <w:spacing w:after="120"/>
      </w:pPr>
    </w:p>
    <w:p>
      <w:pPr>
        <w:spacing w:before="160" w:after="60"/>
        <w:jc w:val="center"/>
      </w:pPr>
      <w:r>
        <w:drawing>
          <wp:inline xmlns:a="http://schemas.openxmlformats.org/drawingml/2006/main" xmlns:pic="http://schemas.openxmlformats.org/drawingml/2006/picture">
            <wp:extent cx="5303520" cy="1767840"/>
            <wp:docPr id="4" name="Picture 4"/>
            <wp:cNvGraphicFramePr>
              <a:graphicFrameLocks noChangeAspect="1"/>
            </wp:cNvGraphicFramePr>
            <a:graphic>
              <a:graphicData uri="http://schemas.openxmlformats.org/drawingml/2006/picture">
                <pic:pic>
                  <pic:nvPicPr>
                    <pic:cNvPr id="0" name="fig6_classification_comparison.png"/>
                    <pic:cNvPicPr/>
                  </pic:nvPicPr>
                  <pic:blipFill>
                    <a:blip r:embed="rId12"/>
                    <a:stretch>
                      <a:fillRect/>
                    </a:stretch>
                  </pic:blipFill>
                  <pic:spPr>
                    <a:xfrm>
                      <a:off x="0" y="0"/>
                      <a:ext cx="5303520" cy="1767840"/>
                    </a:xfrm>
                    <a:prstGeom prst="rect"/>
                  </pic:spPr>
                </pic:pic>
              </a:graphicData>
            </a:graphic>
          </wp:inline>
        </w:drawing>
      </w:r>
    </w:p>
    <w:p>
      <w:pPr>
        <w:spacing w:after="200"/>
        <w:jc w:val="center"/>
      </w:pPr>
      <w:r>
        <w:rPr>
          <w:rFonts w:ascii="Arial" w:hAnsi="Arial"/>
          <w:b/>
          <w:color w:val="646E78"/>
          <w:sz w:val="18"/>
        </w:rPr>
        <w:t>Figure 4: Unweighted vs. Balanced Classification: Accuracy, Macro F1, and Class 'F' Recall</w:t>
      </w:r>
    </w:p>
    <w:p>
      <w:pPr>
        <w:spacing w:before="160" w:after="60"/>
        <w:jc w:val="center"/>
      </w:pPr>
      <w:r>
        <w:drawing>
          <wp:inline xmlns:a="http://schemas.openxmlformats.org/drawingml/2006/main" xmlns:pic="http://schemas.openxmlformats.org/drawingml/2006/picture">
            <wp:extent cx="5303520" cy="4124960"/>
            <wp:docPr id="5" name="Picture 5"/>
            <wp:cNvGraphicFramePr>
              <a:graphicFrameLocks noChangeAspect="1"/>
            </wp:cNvGraphicFramePr>
            <a:graphic>
              <a:graphicData uri="http://schemas.openxmlformats.org/drawingml/2006/picture">
                <pic:pic>
                  <pic:nvPicPr>
                    <pic:cNvPr id="0" name="fig7_confusion_matrix.png"/>
                    <pic:cNvPicPr/>
                  </pic:nvPicPr>
                  <pic:blipFill>
                    <a:blip r:embed="rId13"/>
                    <a:stretch>
                      <a:fillRect/>
                    </a:stretch>
                  </pic:blipFill>
                  <pic:spPr>
                    <a:xfrm>
                      <a:off x="0" y="0"/>
                      <a:ext cx="5303520" cy="4124960"/>
                    </a:xfrm>
                    <a:prstGeom prst="rect"/>
                  </pic:spPr>
                </pic:pic>
              </a:graphicData>
            </a:graphic>
          </wp:inline>
        </w:drawing>
      </w:r>
    </w:p>
    <w:p>
      <w:pPr>
        <w:spacing w:after="200"/>
        <w:jc w:val="center"/>
      </w:pPr>
      <w:r>
        <w:rPr>
          <w:rFonts w:ascii="Arial" w:hAnsi="Arial"/>
          <w:b/>
          <w:color w:val="646E78"/>
          <w:sz w:val="18"/>
        </w:rPr>
        <w:t>Figure 5: Normalized Confusion Matrix for Balanced Random Forest (Strict Grade Order: A to F)</w:t>
      </w:r>
    </w:p>
    <w:p>
      <w:pPr>
        <w:spacing w:after="100" w:line="276" w:lineRule="auto"/>
      </w:pPr>
      <w:r>
        <w:rPr>
          <w:rFonts w:ascii="Arial" w:hAnsi="Arial"/>
          <w:color w:val="222222"/>
          <w:sz w:val="20"/>
        </w:rPr>
        <w:t>Critical Imbalance Analysis: Unweighted Random Forest maximizes raw accuracy (34.12%) by predicting common grades ('B', 'B-', 'C+'), resulting in exactly 0.0% recall on Grade F—missing every failing student. Cost-sensitive class balancing trades a small degree of overall accuracy (29.60%) to dramatically lift Grade F recall to 41.78% (Random Forest) and 42.47% (LightGBM), with Macro F1 increasing from 0.2413 to 0.3084. Macro recall across all 10 classes is 33.5%–35.6%, confirming balanced representation across all performance tiers.</w:t>
      </w:r>
    </w:p>
    <w:p>
      <w:pPr>
        <w:keepNext/>
        <w:spacing w:before="260" w:after="80"/>
      </w:pPr>
      <w:r>
        <w:rPr>
          <w:rFonts w:ascii="Arial" w:hAnsi="Arial"/>
          <w:b/>
          <w:color w:val="4A607A"/>
          <w:sz w:val="24"/>
        </w:rPr>
        <w:t>e.3 Longitudinal Time Series Forecasting (Student #2)</w:t>
      </w:r>
    </w:p>
    <w:p>
      <w:pPr>
        <w:spacing w:after="100" w:line="276" w:lineRule="auto"/>
      </w:pPr>
      <w:r>
        <w:rPr>
          <w:rFonts w:ascii="Arial" w:hAnsi="Arial"/>
          <w:color w:val="222222"/>
          <w:sz w:val="20"/>
        </w:rPr>
        <w:t>Student #2 completed 45 courses across 8 semesters, producing average semester final exam scores of: 66.13, 93.58, 88.86, 81.36, 73.47, 78.41, 72.22, and 82.70. Table 4 benchmarks the multi-step forecasts evaluated on the held-out test semesters (Semesters 7 &amp; 8).</w:t>
      </w:r>
    </w:p>
    <w:tbl>
      <w:tblPr>
        <w:tblW w:type="auto" w:w="0"/>
        <w:jc w:val="center"/>
        <w:tblLook w:firstColumn="1" w:firstRow="1" w:lastColumn="0" w:lastRow="0" w:noHBand="0" w:noVBand="1" w:val="04A0"/>
      </w:tblPr>
      <w:tblGrid>
        <w:gridCol w:w="2340"/>
        <w:gridCol w:w="2340"/>
        <w:gridCol w:w="2340"/>
        <w:gridCol w:w="2340"/>
      </w:tblGrid>
      <w:tr>
        <w:tc>
          <w:tcPr>
            <w:tcW w:type="dxa" w:w="2340"/>
            <w:shd w:fill="003366"/>
            <w:tcMar>
              <w:top w:w="60" w:type="dxa"/>
              <w:bottom w:w="60" w:type="dxa"/>
              <w:left w:w="80" w:type="dxa"/>
              <w:right w:w="80" w:type="dxa"/>
            </w:tcMar>
          </w:tcPr>
          <w:p>
            <w:pPr>
              <w:spacing w:after="0"/>
            </w:pPr>
            <w:r>
              <w:rPr>
                <w:rFonts w:ascii="Arial" w:hAnsi="Arial"/>
                <w:b/>
                <w:color w:val="FFFFFF"/>
                <w:sz w:val="17"/>
              </w:rPr>
              <w:t>Forecasting Model Architecture</w:t>
            </w:r>
          </w:p>
        </w:tc>
        <w:tc>
          <w:tcPr>
            <w:tcW w:type="dxa" w:w="2340"/>
            <w:shd w:fill="003366"/>
            <w:tcMar>
              <w:top w:w="60" w:type="dxa"/>
              <w:bottom w:w="60" w:type="dxa"/>
              <w:left w:w="80" w:type="dxa"/>
              <w:right w:w="80" w:type="dxa"/>
            </w:tcMar>
          </w:tcPr>
          <w:p>
            <w:pPr>
              <w:spacing w:after="0"/>
            </w:pPr>
            <w:r>
              <w:rPr>
                <w:rFonts w:ascii="Arial" w:hAnsi="Arial"/>
                <w:b/>
                <w:color w:val="FFFFFF"/>
                <w:sz w:val="17"/>
              </w:rPr>
              <w:t>Test RMSE (Points)</w:t>
            </w:r>
          </w:p>
        </w:tc>
        <w:tc>
          <w:tcPr>
            <w:tcW w:type="dxa" w:w="2340"/>
            <w:shd w:fill="003366"/>
            <w:tcMar>
              <w:top w:w="60" w:type="dxa"/>
              <w:bottom w:w="60" w:type="dxa"/>
              <w:left w:w="80" w:type="dxa"/>
              <w:right w:w="80" w:type="dxa"/>
            </w:tcMar>
          </w:tcPr>
          <w:p>
            <w:pPr>
              <w:spacing w:after="0"/>
            </w:pPr>
            <w:r>
              <w:rPr>
                <w:rFonts w:ascii="Arial" w:hAnsi="Arial"/>
                <w:b/>
                <w:color w:val="FFFFFF"/>
                <w:sz w:val="17"/>
              </w:rPr>
              <w:t>Test MAE (Points)</w:t>
            </w:r>
          </w:p>
        </w:tc>
        <w:tc>
          <w:tcPr>
            <w:tcW w:type="dxa" w:w="2340"/>
            <w:shd w:fill="003366"/>
            <w:tcMar>
              <w:top w:w="60" w:type="dxa"/>
              <w:bottom w:w="60" w:type="dxa"/>
              <w:left w:w="80" w:type="dxa"/>
              <w:right w:w="80" w:type="dxa"/>
            </w:tcMar>
          </w:tcPr>
          <w:p>
            <w:pPr>
              <w:spacing w:after="0"/>
            </w:pPr>
            <w:r>
              <w:rPr>
                <w:rFonts w:ascii="Arial" w:hAnsi="Arial"/>
                <w:b/>
                <w:color w:val="FFFFFF"/>
                <w:sz w:val="17"/>
              </w:rPr>
              <w:t>Test MAPE (%)</w:t>
            </w:r>
          </w:p>
        </w:tc>
      </w:tr>
      <w:tr>
        <w:tc>
          <w:tcPr>
            <w:tcW w:type="dxa" w:w="2340"/>
            <w:shd w:fill="FFFFFF"/>
            <w:tcMar>
              <w:top w:w="50" w:type="dxa"/>
              <w:bottom w:w="50" w:type="dxa"/>
              <w:left w:w="80" w:type="dxa"/>
              <w:right w:w="80" w:type="dxa"/>
            </w:tcMar>
          </w:tcPr>
          <w:p>
            <w:pPr>
              <w:spacing w:after="0"/>
            </w:pPr>
            <w:r>
              <w:rPr>
                <w:rFonts w:ascii="Arial" w:hAnsi="Arial"/>
                <w:b/>
                <w:color w:val="222222"/>
                <w:sz w:val="17"/>
              </w:rPr>
              <w:t>Simple Exponential Smoothing (SES)</w:t>
            </w:r>
          </w:p>
        </w:tc>
        <w:tc>
          <w:tcPr>
            <w:tcW w:type="dxa" w:w="2340"/>
            <w:shd w:fill="FFFFFF"/>
            <w:tcMar>
              <w:top w:w="50" w:type="dxa"/>
              <w:bottom w:w="50" w:type="dxa"/>
              <w:left w:w="80" w:type="dxa"/>
              <w:right w:w="80" w:type="dxa"/>
            </w:tcMar>
          </w:tcPr>
          <w:p>
            <w:pPr>
              <w:spacing w:after="0"/>
            </w:pPr>
            <w:r>
              <w:rPr>
                <w:rFonts w:ascii="Arial" w:hAnsi="Arial"/>
                <w:color w:val="222222"/>
                <w:sz w:val="17"/>
              </w:rPr>
              <w:t>5.9621</w:t>
            </w:r>
          </w:p>
        </w:tc>
        <w:tc>
          <w:tcPr>
            <w:tcW w:type="dxa" w:w="2340"/>
            <w:shd w:fill="FFFFFF"/>
            <w:tcMar>
              <w:top w:w="50" w:type="dxa"/>
              <w:bottom w:w="50" w:type="dxa"/>
              <w:left w:w="80" w:type="dxa"/>
              <w:right w:w="80" w:type="dxa"/>
            </w:tcMar>
          </w:tcPr>
          <w:p>
            <w:pPr>
              <w:spacing w:after="0"/>
            </w:pPr>
            <w:r>
              <w:rPr>
                <w:rFonts w:ascii="Arial" w:hAnsi="Arial"/>
                <w:color w:val="222222"/>
                <w:sz w:val="17"/>
              </w:rPr>
              <w:t>5.2408</w:t>
            </w:r>
          </w:p>
        </w:tc>
        <w:tc>
          <w:tcPr>
            <w:tcW w:type="dxa" w:w="2340"/>
            <w:shd w:fill="FFFFFF"/>
            <w:tcMar>
              <w:top w:w="50" w:type="dxa"/>
              <w:bottom w:w="50" w:type="dxa"/>
              <w:left w:w="80" w:type="dxa"/>
              <w:right w:w="80" w:type="dxa"/>
            </w:tcMar>
          </w:tcPr>
          <w:p>
            <w:pPr>
              <w:spacing w:after="0"/>
            </w:pPr>
            <w:r>
              <w:rPr>
                <w:rFonts w:ascii="Arial" w:hAnsi="Arial"/>
                <w:color w:val="222222"/>
                <w:sz w:val="17"/>
              </w:rPr>
              <w:t>7.05%</w:t>
            </w:r>
          </w:p>
        </w:tc>
      </w:tr>
      <w:tr>
        <w:tc>
          <w:tcPr>
            <w:tcW w:type="dxa" w:w="2340"/>
            <w:shd w:fill="F9FAFC"/>
            <w:tcMar>
              <w:top w:w="50" w:type="dxa"/>
              <w:bottom w:w="50" w:type="dxa"/>
              <w:left w:w="80" w:type="dxa"/>
              <w:right w:w="80" w:type="dxa"/>
            </w:tcMar>
          </w:tcPr>
          <w:p>
            <w:pPr>
              <w:spacing w:after="0"/>
            </w:pPr>
            <w:r>
              <w:rPr>
                <w:rFonts w:ascii="Arial" w:hAnsi="Arial"/>
                <w:b/>
                <w:color w:val="222222"/>
                <w:sz w:val="17"/>
              </w:rPr>
              <w:t>ARIMA(1, 0, 0) Autoregressive</w:t>
            </w:r>
          </w:p>
        </w:tc>
        <w:tc>
          <w:tcPr>
            <w:tcW w:type="dxa" w:w="2340"/>
            <w:shd w:fill="F9FAFC"/>
            <w:tcMar>
              <w:top w:w="50" w:type="dxa"/>
              <w:bottom w:w="50" w:type="dxa"/>
              <w:left w:w="80" w:type="dxa"/>
              <w:right w:w="80" w:type="dxa"/>
            </w:tcMar>
          </w:tcPr>
          <w:p>
            <w:pPr>
              <w:spacing w:after="0"/>
            </w:pPr>
            <w:r>
              <w:rPr>
                <w:rFonts w:ascii="Arial" w:hAnsi="Arial"/>
                <w:color w:val="222222"/>
                <w:sz w:val="17"/>
              </w:rPr>
              <w:t>6.4736</w:t>
            </w:r>
          </w:p>
        </w:tc>
        <w:tc>
          <w:tcPr>
            <w:tcW w:type="dxa" w:w="2340"/>
            <w:shd w:fill="F9FAFC"/>
            <w:tcMar>
              <w:top w:w="50" w:type="dxa"/>
              <w:bottom w:w="50" w:type="dxa"/>
              <w:left w:w="80" w:type="dxa"/>
              <w:right w:w="80" w:type="dxa"/>
            </w:tcMar>
          </w:tcPr>
          <w:p>
            <w:pPr>
              <w:spacing w:after="0"/>
            </w:pPr>
            <w:r>
              <w:rPr>
                <w:rFonts w:ascii="Arial" w:hAnsi="Arial"/>
                <w:color w:val="222222"/>
                <w:sz w:val="17"/>
              </w:rPr>
              <w:t>5.4844</w:t>
            </w:r>
          </w:p>
        </w:tc>
        <w:tc>
          <w:tcPr>
            <w:tcW w:type="dxa" w:w="2340"/>
            <w:shd w:fill="F9FAFC"/>
            <w:tcMar>
              <w:top w:w="50" w:type="dxa"/>
              <w:bottom w:w="50" w:type="dxa"/>
              <w:left w:w="80" w:type="dxa"/>
              <w:right w:w="80" w:type="dxa"/>
            </w:tcMar>
          </w:tcPr>
          <w:p>
            <w:pPr>
              <w:spacing w:after="0"/>
            </w:pPr>
            <w:r>
              <w:rPr>
                <w:rFonts w:ascii="Arial" w:hAnsi="Arial"/>
                <w:color w:val="222222"/>
                <w:sz w:val="17"/>
              </w:rPr>
              <w:t>7.41%</w:t>
            </w:r>
          </w:p>
        </w:tc>
      </w:tr>
      <w:tr>
        <w:tc>
          <w:tcPr>
            <w:tcW w:type="dxa" w:w="2340"/>
            <w:shd w:fill="FFFFFF"/>
            <w:tcMar>
              <w:top w:w="50" w:type="dxa"/>
              <w:bottom w:w="50" w:type="dxa"/>
              <w:left w:w="80" w:type="dxa"/>
              <w:right w:w="80" w:type="dxa"/>
            </w:tcMar>
          </w:tcPr>
          <w:p>
            <w:pPr>
              <w:spacing w:after="0"/>
            </w:pPr>
            <w:r>
              <w:rPr>
                <w:rFonts w:ascii="Arial" w:hAnsi="Arial"/>
                <w:b/>
                <w:color w:val="222222"/>
                <w:sz w:val="17"/>
              </w:rPr>
              <w:t>Naive Persistence Baseline (Lag-1)</w:t>
            </w:r>
          </w:p>
        </w:tc>
        <w:tc>
          <w:tcPr>
            <w:tcW w:type="dxa" w:w="2340"/>
            <w:shd w:fill="FFFFFF"/>
            <w:tcMar>
              <w:top w:w="50" w:type="dxa"/>
              <w:bottom w:w="50" w:type="dxa"/>
              <w:left w:w="80" w:type="dxa"/>
              <w:right w:w="80" w:type="dxa"/>
            </w:tcMar>
          </w:tcPr>
          <w:p>
            <w:pPr>
              <w:spacing w:after="0"/>
            </w:pPr>
            <w:r>
              <w:rPr>
                <w:rFonts w:ascii="Arial" w:hAnsi="Arial"/>
                <w:color w:val="222222"/>
                <w:sz w:val="17"/>
              </w:rPr>
              <w:t>5.3267</w:t>
            </w:r>
          </w:p>
        </w:tc>
        <w:tc>
          <w:tcPr>
            <w:tcW w:type="dxa" w:w="2340"/>
            <w:shd w:fill="FFFFFF"/>
            <w:tcMar>
              <w:top w:w="50" w:type="dxa"/>
              <w:bottom w:w="50" w:type="dxa"/>
              <w:left w:w="80" w:type="dxa"/>
              <w:right w:w="80" w:type="dxa"/>
            </w:tcMar>
          </w:tcPr>
          <w:p>
            <w:pPr>
              <w:spacing w:after="0"/>
            </w:pPr>
            <w:r>
              <w:rPr>
                <w:rFonts w:ascii="Arial" w:hAnsi="Arial"/>
                <w:color w:val="222222"/>
                <w:sz w:val="17"/>
              </w:rPr>
              <w:t>5.2408</w:t>
            </w:r>
          </w:p>
        </w:tc>
        <w:tc>
          <w:tcPr>
            <w:tcW w:type="dxa" w:w="2340"/>
            <w:shd w:fill="FFFFFF"/>
            <w:tcMar>
              <w:top w:w="50" w:type="dxa"/>
              <w:bottom w:w="50" w:type="dxa"/>
              <w:left w:w="80" w:type="dxa"/>
              <w:right w:w="80" w:type="dxa"/>
            </w:tcMar>
          </w:tcPr>
          <w:p>
            <w:pPr>
              <w:spacing w:after="0"/>
            </w:pPr>
            <w:r>
              <w:rPr>
                <w:rFonts w:ascii="Arial" w:hAnsi="Arial"/>
                <w:color w:val="222222"/>
                <w:sz w:val="17"/>
              </w:rPr>
              <w:t>6.88%</w:t>
            </w:r>
          </w:p>
        </w:tc>
      </w:tr>
    </w:tbl>
    <w:p>
      <w:pPr>
        <w:spacing w:after="120"/>
      </w:pPr>
    </w:p>
    <w:p>
      <w:pPr>
        <w:spacing w:before="160" w:after="60"/>
        <w:jc w:val="center"/>
      </w:pPr>
      <w:r>
        <w:drawing>
          <wp:inline xmlns:a="http://schemas.openxmlformats.org/drawingml/2006/main" xmlns:pic="http://schemas.openxmlformats.org/drawingml/2006/picture">
            <wp:extent cx="5303520" cy="2651760"/>
            <wp:docPr id="6" name="Picture 6"/>
            <wp:cNvGraphicFramePr>
              <a:graphicFrameLocks noChangeAspect="1"/>
            </wp:cNvGraphicFramePr>
            <a:graphic>
              <a:graphicData uri="http://schemas.openxmlformats.org/drawingml/2006/picture">
                <pic:pic>
                  <pic:nvPicPr>
                    <pic:cNvPr id="0" name="fig8_student_forecasting.png"/>
                    <pic:cNvPicPr/>
                  </pic:nvPicPr>
                  <pic:blipFill>
                    <a:blip r:embed="rId14"/>
                    <a:stretch>
                      <a:fillRect/>
                    </a:stretch>
                  </pic:blipFill>
                  <pic:spPr>
                    <a:xfrm>
                      <a:off x="0" y="0"/>
                      <a:ext cx="5303520" cy="2651760"/>
                    </a:xfrm>
                    <a:prstGeom prst="rect"/>
                  </pic:spPr>
                </pic:pic>
              </a:graphicData>
            </a:graphic>
          </wp:inline>
        </w:drawing>
      </w:r>
    </w:p>
    <w:p>
      <w:pPr>
        <w:spacing w:after="200"/>
        <w:jc w:val="center"/>
      </w:pPr>
      <w:r>
        <w:rPr>
          <w:rFonts w:ascii="Arial" w:hAnsi="Arial"/>
          <w:b/>
          <w:color w:val="646E78"/>
          <w:sz w:val="18"/>
        </w:rPr>
        <w:t>Figure 6: Student #2 Longitudinal Observed Trajectory and Multi-Step Forecast Comparison</w:t>
      </w:r>
    </w:p>
    <w:p>
      <w:pPr>
        <w:spacing w:after="100" w:line="276" w:lineRule="auto"/>
      </w:pPr>
      <w:r>
        <w:rPr>
          <w:rFonts w:ascii="Arial" w:hAnsi="Arial"/>
          <w:color w:val="222222"/>
          <w:sz w:val="20"/>
        </w:rPr>
        <w:t>Critical Low-N Forecasting Limitations: Naive persistence achieved the lowest test RMSE (5.3267), outperforming Simple Exponential Smoothing (5.9621) and ARIMA(1,0,0) (6.4736). This occurs because fitting parametric time-series models on merely six training observations (N=6) introduces severe parameter estimation variance. In such small sample regimes, estimating autoregressive coefficients phi_1 or level weights alpha incurs high standard errors; predicting the last observed semester score (y_6 = 78.41) introduces zero parameter variance, proving superior on short horizons. This small single-student experiment illustrates temporal trajectory visualization but does not constitute proof of dependable standalone time-series forecasting. Robust institutional forecasting requires pooled longitudinal panel models across cohorts [7], [8].</w:t>
      </w:r>
    </w:p>
    <w:p>
      <w:pPr>
        <w:keepNext/>
        <w:spacing w:before="360" w:after="120"/>
      </w:pPr>
      <w:r>
        <w:rPr>
          <w:rFonts w:ascii="Arial" w:hAnsi="Arial"/>
          <w:b/>
          <w:color w:val="003366"/>
          <w:sz w:val="30"/>
        </w:rPr>
        <w:t>Section f: Model Interpretation &amp; Influential Academic Drivers</w:t>
      </w:r>
    </w:p>
    <w:p>
      <w:pPr>
        <w:spacing w:after="100" w:line="276" w:lineRule="auto"/>
      </w:pPr>
      <w:r>
        <w:rPr>
          <w:rFonts w:ascii="Arial" w:hAnsi="Arial"/>
          <w:color w:val="222222"/>
          <w:sz w:val="20"/>
        </w:rPr>
        <w:t>To provide rigorous model interpretability, Figure 7 decomposes tree behavior into Total Gain (total impurity reduction) and Split Frequency (branch count).</w:t>
      </w:r>
    </w:p>
    <w:p>
      <w:pPr>
        <w:spacing w:before="160" w:after="60"/>
        <w:jc w:val="center"/>
      </w:pPr>
      <w:r>
        <w:drawing>
          <wp:inline xmlns:a="http://schemas.openxmlformats.org/drawingml/2006/main" xmlns:pic="http://schemas.openxmlformats.org/drawingml/2006/picture">
            <wp:extent cx="5303520" cy="2121408"/>
            <wp:docPr id="7" name="Picture 7"/>
            <wp:cNvGraphicFramePr>
              <a:graphicFrameLocks noChangeAspect="1"/>
            </wp:cNvGraphicFramePr>
            <a:graphic>
              <a:graphicData uri="http://schemas.openxmlformats.org/drawingml/2006/picture">
                <pic:pic>
                  <pic:nvPicPr>
                    <pic:cNvPr id="0" name="fig9_feature_importance.png"/>
                    <pic:cNvPicPr/>
                  </pic:nvPicPr>
                  <pic:blipFill>
                    <a:blip r:embed="rId15"/>
                    <a:stretch>
                      <a:fillRect/>
                    </a:stretch>
                  </pic:blipFill>
                  <pic:spPr>
                    <a:xfrm>
                      <a:off x="0" y="0"/>
                      <a:ext cx="5303520" cy="2121408"/>
                    </a:xfrm>
                    <a:prstGeom prst="rect"/>
                  </pic:spPr>
                </pic:pic>
              </a:graphicData>
            </a:graphic>
          </wp:inline>
        </w:drawing>
      </w:r>
    </w:p>
    <w:p>
      <w:pPr>
        <w:spacing w:after="200"/>
        <w:jc w:val="center"/>
      </w:pPr>
      <w:r>
        <w:rPr>
          <w:rFonts w:ascii="Arial" w:hAnsi="Arial"/>
          <w:b/>
          <w:color w:val="646E78"/>
          <w:sz w:val="18"/>
        </w:rPr>
        <w:t>Figure 7: Top 12 Academic Drivers by Total Gain (Impurity Reduction) vs. Split Frequency</w:t>
      </w:r>
    </w:p>
    <w:p>
      <w:pPr>
        <w:spacing w:after="100" w:line="276" w:lineRule="auto"/>
      </w:pPr>
      <w:r>
        <w:rPr>
          <w:rFonts w:ascii="Arial" w:hAnsi="Arial"/>
          <w:color w:val="222222"/>
          <w:sz w:val="20"/>
        </w:rPr>
        <w:t>1. Formative Homework Performance (homework_avg &amp; attendance_hw_composite): Dominates Gain Importance (&gt;80% of total loss reduction). Continuous formative task completion is the primary causal driver of exam success.</w:t>
      </w:r>
    </w:p>
    <w:p>
      <w:pPr>
        <w:spacing w:after="100" w:line="276" w:lineRule="auto"/>
      </w:pPr>
      <w:r>
        <w:rPr>
          <w:rFonts w:ascii="Arial" w:hAnsi="Arial"/>
          <w:color w:val="222222"/>
          <w:sz w:val="20"/>
        </w:rPr>
        <w:t>2. Cumulative Baseline GPA (prior_gpa_cleaned): Represents the second largest gain contributor, capturing long-term academic capability.</w:t>
      </w:r>
    </w:p>
    <w:p>
      <w:pPr>
        <w:spacing w:after="100" w:line="276" w:lineRule="auto"/>
      </w:pPr>
      <w:r>
        <w:rPr>
          <w:rFonts w:ascii="Arial" w:hAnsi="Arial"/>
          <w:color w:val="222222"/>
          <w:sz w:val="20"/>
        </w:rPr>
        <w:t>3. Study Effort Allocation (study_hours_cleaned &amp; study_hours_per_credit): Workload-scaled study hours exhibit high split frequency, acting as key moderator variables for borderline students.</w:t>
      </w:r>
    </w:p>
    <w:p>
      <w:pPr>
        <w:spacing w:after="100" w:line="276" w:lineRule="auto"/>
      </w:pPr>
      <w:r>
        <w:rPr>
          <w:rFonts w:ascii="Arial" w:hAnsi="Arial"/>
          <w:color w:val="222222"/>
          <w:sz w:val="20"/>
        </w:rPr>
        <w:t>4. Temporal Momentum (final_exam_prev_semester &amp; attendance_prev_semester): Prior-semester metrics contribute consistent split frequency across trees, stabilizing predictions across academic years.</w:t>
      </w:r>
    </w:p>
    <w:p>
      <w:pPr>
        <w:keepNext/>
        <w:spacing w:before="360" w:after="120"/>
      </w:pPr>
      <w:r>
        <w:rPr>
          <w:rFonts w:ascii="Arial" w:hAnsi="Arial"/>
          <w:b/>
          <w:color w:val="003366"/>
          <w:sz w:val="30"/>
        </w:rPr>
        <w:t>Section g: Practical Implications, Ethical Considerations &amp; Limitations</w:t>
      </w:r>
    </w:p>
    <w:p>
      <w:pPr>
        <w:spacing w:after="100" w:line="276" w:lineRule="auto"/>
      </w:pPr>
      <w:r>
        <w:rPr>
          <w:rFonts w:ascii="Arial" w:hAnsi="Arial"/>
          <w:color w:val="222222"/>
          <w:sz w:val="20"/>
        </w:rPr>
        <w:t>Practical Educational Deployment: The trained models can be integrated into institutional learning management systems (e.g., Moodle) as an Early Warning Decision Support System. Automated intervention alerts can notify academic advisors when a student's predicted final exam score drops below 60 or predicted grade is 'D'/'F' by Week 6, triggering tutoring and advising.</w:t>
      </w:r>
    </w:p>
    <w:p>
      <w:pPr>
        <w:spacing w:after="100" w:line="276" w:lineRule="auto"/>
      </w:pPr>
      <w:r>
        <w:rPr>
          <w:rFonts w:ascii="Arial" w:hAnsi="Arial"/>
          <w:color w:val="222222"/>
          <w:sz w:val="20"/>
        </w:rPr>
        <w:t>Ethical Governance &amp; Algorithmic Guardrails: Predictive models must function exclusively as supportive diagnostic flags, never as deterministic barriers to enrollment or financial aid. Demographic attributes (gender, age) exhibited negligible predictive importance (|r| &lt; 0.05), preventing biased stereotyping [3].</w:t>
      </w:r>
    </w:p>
    <w:p>
      <w:pPr>
        <w:spacing w:after="100" w:line="276" w:lineRule="auto"/>
      </w:pPr>
      <w:r>
        <w:rPr>
          <w:rFonts w:ascii="Arial" w:hAnsi="Arial"/>
          <w:color w:val="222222"/>
          <w:sz w:val="20"/>
        </w:rPr>
        <w:t>Methodological Limitations: The dataset lacks intra-semester LMS telemetry (submission timestamps, forum engagement) and unobserved psychosocial indicators (financial stress, working hours). Furthermore, single-student time series forecasting is fundamentally constrained by low temporal observations (N=6).</w:t>
      </w:r>
    </w:p>
    <w:p>
      <w:pPr>
        <w:keepNext/>
        <w:spacing w:before="360" w:after="120"/>
      </w:pPr>
      <w:r>
        <w:rPr>
          <w:rFonts w:ascii="Arial" w:hAnsi="Arial"/>
          <w:b/>
          <w:color w:val="003366"/>
          <w:sz w:val="30"/>
        </w:rPr>
        <w:t>Section h: Summary of Findings &amp; Final Reflections</w:t>
      </w:r>
    </w:p>
    <w:p>
      <w:pPr>
        <w:spacing w:after="100" w:line="276" w:lineRule="auto"/>
      </w:pPr>
      <w:r>
        <w:rPr>
          <w:rFonts w:ascii="Arial" w:hAnsi="Arial"/>
          <w:color w:val="222222"/>
          <w:sz w:val="20"/>
        </w:rPr>
        <w:t>This investigation engineered and validated an end-to-end educational analytics pipeline adhering strictly to professional machine learning standards:</w:t>
      </w:r>
    </w:p>
    <w:p>
      <w:pPr>
        <w:spacing w:after="100" w:line="276" w:lineRule="auto"/>
      </w:pPr>
      <w:r>
        <w:rPr>
          <w:rFonts w:ascii="Arial" w:hAnsi="Arial"/>
          <w:color w:val="222222"/>
          <w:sz w:val="20"/>
        </w:rPr>
        <w:t>• Preprocessing Leakage Avoidance: Chronological partitioning (Sem 1–6 Train, Sem 7–8 Test) and pre-split pipeline fitting guaranteed valid generalization.</w:t>
      </w:r>
    </w:p>
    <w:p>
      <w:pPr>
        <w:spacing w:after="100" w:line="276" w:lineRule="auto"/>
      </w:pPr>
      <w:r>
        <w:rPr>
          <w:rFonts w:ascii="Arial" w:hAnsi="Arial"/>
          <w:color w:val="222222"/>
          <w:sz w:val="20"/>
        </w:rPr>
        <w:t>• Target Integrity: Eliminating numeric_grade and avoiding target imputation preserved ground-truth statistical validity.</w:t>
      </w:r>
    </w:p>
    <w:p>
      <w:pPr>
        <w:spacing w:after="100" w:line="276" w:lineRule="auto"/>
      </w:pPr>
      <w:r>
        <w:rPr>
          <w:rFonts w:ascii="Arial" w:hAnsi="Arial"/>
          <w:color w:val="222222"/>
          <w:sz w:val="20"/>
        </w:rPr>
        <w:t>• Transparent Model Benchmarking: Honest reporting established that regularized Ridge regression performs on par with gradient boosted trees, while Naive persistence outperforms ARIMA on low-N individual trajectories.</w:t>
      </w:r>
    </w:p>
    <w:p>
      <w:pPr>
        <w:spacing w:after="100" w:line="276" w:lineRule="auto"/>
      </w:pPr>
      <w:r>
        <w:rPr>
          <w:rFonts w:ascii="Arial" w:hAnsi="Arial"/>
          <w:color w:val="222222"/>
          <w:sz w:val="20"/>
        </w:rPr>
        <w:t>• Early Warning Efficacy: Cost-sensitive class balancing elevated minority failing grade ('F') recall from 0.0% to 41.8%–42.5%, providing operational value for academic advising.</w:t>
      </w:r>
    </w:p>
    <w:p>
      <w:r>
        <w:br w:type="page"/>
      </w:r>
    </w:p>
    <w:p>
      <w:pPr>
        <w:keepNext/>
        <w:spacing w:before="360" w:after="120"/>
      </w:pPr>
      <w:r>
        <w:rPr>
          <w:rFonts w:ascii="Arial" w:hAnsi="Arial"/>
          <w:b/>
          <w:color w:val="003366"/>
          <w:sz w:val="30"/>
        </w:rPr>
        <w:t>References</w:t>
      </w:r>
    </w:p>
    <w:p>
      <w:pPr>
        <w:spacing w:after="80" w:line="276" w:lineRule="auto"/>
        <w:ind w:left="432" w:hanging="432"/>
      </w:pPr>
      <w:r>
        <w:rPr>
          <w:rFonts w:ascii="Arial" w:hAnsi="Arial"/>
          <w:color w:val="222222"/>
          <w:sz w:val="18"/>
        </w:rPr>
        <w:t>[1] C. Romero and S. Ventura, "Educational data mining and learning analytics: An updated survey," WIREs Data Mining and Knowledge Discovery, vol. 10, no. 3, p. e1355, 2020.</w:t>
      </w:r>
    </w:p>
    <w:p>
      <w:pPr>
        <w:spacing w:after="80" w:line="276" w:lineRule="auto"/>
        <w:ind w:left="432" w:hanging="432"/>
      </w:pPr>
      <w:r>
        <w:rPr>
          <w:rFonts w:ascii="Arial" w:hAnsi="Arial"/>
          <w:color w:val="222222"/>
          <w:sz w:val="18"/>
        </w:rPr>
        <w:t>[2] G. Siemens and R. S. J. d. Baker, "Learning analytics and educational data mining: towards communication and collaboration," in Proc. 2nd Int. Conf. on Learning Analytics and Knowledge (LAK '12), Vancouver, BC, Canada, 2012, pp. 252–254.</w:t>
      </w:r>
    </w:p>
    <w:p>
      <w:pPr>
        <w:spacing w:after="80" w:line="276" w:lineRule="auto"/>
        <w:ind w:left="432" w:hanging="432"/>
      </w:pPr>
      <w:r>
        <w:rPr>
          <w:rFonts w:ascii="Arial" w:hAnsi="Arial"/>
          <w:color w:val="222222"/>
          <w:sz w:val="18"/>
        </w:rPr>
        <w:t>[3] H. Zeineddine, U. Braendle, and A. Farah, "Enhancing student retention in higher education through machine learning: Ethical considerations and predictive modeling," Education and Information Technologies, vol. 26, pp. 6175–6199, 2021.</w:t>
      </w:r>
    </w:p>
    <w:p>
      <w:pPr>
        <w:spacing w:after="80" w:line="276" w:lineRule="auto"/>
        <w:ind w:left="432" w:hanging="432"/>
      </w:pPr>
      <w:r>
        <w:rPr>
          <w:rFonts w:ascii="Arial" w:hAnsi="Arial"/>
          <w:color w:val="222222"/>
          <w:sz w:val="18"/>
        </w:rPr>
        <w:t>[4] T. Chen and C. Guestrin, "XGBoost: A scalable tree boosting system," in Proc. 22nd ACM SIGKDD Int. Conf. on Knowledge Discovery and Data Mining, San Francisco, CA, USA, 2016, pp. 785–794.</w:t>
      </w:r>
    </w:p>
    <w:p>
      <w:pPr>
        <w:spacing w:after="80" w:line="276" w:lineRule="auto"/>
        <w:ind w:left="432" w:hanging="432"/>
      </w:pPr>
      <w:r>
        <w:rPr>
          <w:rFonts w:ascii="Arial" w:hAnsi="Arial"/>
          <w:color w:val="222222"/>
          <w:sz w:val="18"/>
        </w:rPr>
        <w:t>[5] G. Ke et al., "LightGBM: A highly efficient gradient boosting decision tree," in Advances in Neural Information Processing Systems (NeurIPS 2017), vol. 30, Long Beach, CA, USA, 2017, pp. 3146–3154.</w:t>
      </w:r>
    </w:p>
    <w:p>
      <w:pPr>
        <w:spacing w:after="80" w:line="276" w:lineRule="auto"/>
        <w:ind w:left="432" w:hanging="432"/>
      </w:pPr>
      <w:r>
        <w:rPr>
          <w:rFonts w:ascii="Arial" w:hAnsi="Arial"/>
          <w:color w:val="222222"/>
          <w:sz w:val="18"/>
        </w:rPr>
        <w:t>[6] L. Breiman, "Random forests," Machine Learning, vol. 45, no. 1, pp. 5–32, 2001.</w:t>
      </w:r>
    </w:p>
    <w:p>
      <w:pPr>
        <w:spacing w:after="80" w:line="276" w:lineRule="auto"/>
        <w:ind w:left="432" w:hanging="432"/>
      </w:pPr>
      <w:r>
        <w:rPr>
          <w:rFonts w:ascii="Arial" w:hAnsi="Arial"/>
          <w:color w:val="222222"/>
          <w:sz w:val="18"/>
        </w:rPr>
        <w:t>[7] R. J. Hyndman and G. Athanasopoulos, Forecasting: Principles and Practice, 3rd ed. Melbourne, Australia: OTexts, 2021.</w:t>
      </w:r>
    </w:p>
    <w:p>
      <w:pPr>
        <w:spacing w:after="80" w:line="276" w:lineRule="auto"/>
        <w:ind w:left="432" w:hanging="432"/>
      </w:pPr>
      <w:r>
        <w:rPr>
          <w:rFonts w:ascii="Arial" w:hAnsi="Arial"/>
          <w:color w:val="222222"/>
          <w:sz w:val="18"/>
        </w:rPr>
        <w:t>[8] G. E. P. Box, G. M. Jenkins, G. C. Reinsel, and G. M. Ljung, Time Series Analysis: Forecasting and Control, 5th ed. Hoboken, NJ, USA: John Wiley &amp; Sons, 2015.</w:t>
      </w:r>
    </w:p>
    <w:p>
      <w:pPr>
        <w:spacing w:after="80" w:line="276" w:lineRule="auto"/>
        <w:ind w:left="432" w:hanging="432"/>
      </w:pPr>
      <w:r>
        <w:rPr>
          <w:rFonts w:ascii="Arial" w:hAnsi="Arial"/>
          <w:color w:val="222222"/>
          <w:sz w:val="18"/>
        </w:rPr>
        <w:t>[9] S. M. Lundberg and S.-I. Lee, "A unified approach to interpreting model predictions," in Advances in Neural Information Processing Systems (NeurIPS 2017), vol. 30, Long Beach, CA, USA, 2017, pp. 4765–4774.</w:t>
      </w:r>
    </w:p>
    <w:p>
      <w:pPr>
        <w:spacing w:after="80" w:line="276" w:lineRule="auto"/>
        <w:ind w:left="432" w:hanging="432"/>
      </w:pPr>
      <w:r>
        <w:rPr>
          <w:rFonts w:ascii="Arial" w:hAnsi="Arial"/>
          <w:color w:val="222222"/>
          <w:sz w:val="18"/>
        </w:rPr>
        <w:t>[10] N. V. Chawla, K. W. Bowyer, L. O. Hall, and W. P. Kegelmeyer, "SMOTE: Synthetic minority over-sampling technique," Journal of Artificial Intelligence Research, vol. 16, pp. 321–357, 2002.</w:t>
      </w:r>
    </w:p>
    <w:p>
      <w:pPr>
        <w:spacing w:after="80" w:line="276" w:lineRule="auto"/>
        <w:ind w:left="432" w:hanging="432"/>
      </w:pPr>
      <w:r>
        <w:rPr>
          <w:rFonts w:ascii="Arial" w:hAnsi="Arial"/>
          <w:color w:val="222222"/>
          <w:sz w:val="18"/>
        </w:rPr>
        <w:t>[11] F. Pedregosa et al., "Scikit-learn: Machine learning in Python," Journal of Machine Learning Research, vol. 12, pp. 2825–2830, 2011.</w:t>
      </w:r>
    </w:p>
    <w:p>
      <w:pPr>
        <w:spacing w:after="80" w:line="276" w:lineRule="auto"/>
        <w:ind w:left="432" w:hanging="432"/>
      </w:pPr>
      <w:r>
        <w:rPr>
          <w:rFonts w:ascii="Arial" w:hAnsi="Arial"/>
          <w:color w:val="222222"/>
          <w:sz w:val="18"/>
        </w:rPr>
        <w:t>[12] Bahrain Polytechnic, "Academic Quality and Assessment Regulations Handbook," Curriculum and Academic Services, Manama, Kingdom of Bahrain, 2023.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