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003366"/>
          <w:sz w:val="28"/>
        </w:rPr>
        <w:t>BAHRAIN POLYTECHNIC | بوليتكنك البحرين</w:t>
      </w:r>
    </w:p>
    <w:p>
      <w:pPr>
        <w:spacing w:after="480"/>
        <w:jc w:val="center"/>
      </w:pPr>
      <w:r>
        <w:rPr>
          <w:rFonts w:ascii="Arial" w:hAnsi="Arial"/>
          <w:color w:val="4A607A"/>
          <w:sz w:val="22"/>
        </w:rPr>
        <w:t>Faculty of Engineering, Design and Information &amp; Communications Technology</w:t>
      </w:r>
    </w:p>
    <w:p>
      <w:pPr>
        <w:spacing w:after="120"/>
        <w:jc w:val="center"/>
      </w:pPr>
      <w:r>
        <w:rPr>
          <w:rFonts w:ascii="Arial" w:hAnsi="Arial"/>
          <w:b/>
          <w:color w:val="003366"/>
          <w:sz w:val="40"/>
        </w:rPr>
        <w:t>ASSESSMENT COVER SHEET &amp; PROJECT REPORT</w:t>
      </w:r>
    </w:p>
    <w:p>
      <w:pPr>
        <w:spacing w:after="400"/>
        <w:jc w:val="center"/>
      </w:pPr>
      <w:r>
        <w:rPr>
          <w:rFonts w:ascii="Arial" w:hAnsi="Arial"/>
          <w:i/>
          <w:color w:val="4A607A"/>
          <w:sz w:val="26"/>
        </w:rPr>
        <w:t>Intelligent Academic Performance Analysis &amp; Outcome Prediction Pipeline</w:t>
      </w:r>
    </w:p>
    <w:tbl>
      <w:tblPr>
        <w:tblW w:type="auto" w:w="0"/>
        <w:jc w:val="center"/>
        <w:tblLook w:firstColumn="1" w:firstRow="1" w:lastColumn="0" w:lastRow="0" w:noHBand="0" w:noVBand="1" w:val="04A0"/>
      </w:tblPr>
      <w:tblGrid>
        <w:gridCol w:w="4680"/>
        <w:gridCol w:w="4680"/>
      </w:tblGrid>
      <w:tr>
        <w:tc>
          <w:tcPr>
            <w:tcW w:type="dxa" w:w="3168"/>
            <w:shd w:fill="F4F6F9"/>
            <w:tcMar>
              <w:top w:w="80" w:type="dxa"/>
              <w:bottom w:w="80" w:type="dxa"/>
              <w:left w:w="120" w:type="dxa"/>
              <w:right w:w="120" w:type="dxa"/>
            </w:tcMar>
          </w:tcPr>
          <w:p>
            <w:pPr>
              <w:spacing w:after="0"/>
            </w:pPr>
            <w:r>
              <w:rPr>
                <w:rFonts w:ascii="Arial" w:hAnsi="Arial"/>
                <w:b/>
                <w:color w:val="222222"/>
                <w:sz w:val="19"/>
              </w:rPr>
              <w:t>Course Code &amp; Title</w:t>
            </w:r>
          </w:p>
        </w:tc>
        <w:tc>
          <w:tcPr>
            <w:tcW w:type="dxa" w:w="6192"/>
            <w:tcMar>
              <w:top w:w="80" w:type="dxa"/>
              <w:bottom w:w="80" w:type="dxa"/>
              <w:left w:w="120" w:type="dxa"/>
              <w:right w:w="120" w:type="dxa"/>
            </w:tcMar>
          </w:tcPr>
          <w:p>
            <w:pPr>
              <w:spacing w:after="0"/>
            </w:pPr>
            <w:r>
              <w:rPr>
                <w:rFonts w:ascii="Arial" w:hAnsi="Arial"/>
                <w:color w:val="222222"/>
                <w:sz w:val="19"/>
              </w:rPr>
              <w:t>IT7103 - Advanced AI Applications</w:t>
            </w:r>
          </w:p>
        </w:tc>
      </w:tr>
      <w:tr>
        <w:tc>
          <w:tcPr>
            <w:tcW w:type="dxa" w:w="3168"/>
            <w:shd w:fill="F4F6F9"/>
            <w:tcMar>
              <w:top w:w="80" w:type="dxa"/>
              <w:bottom w:w="80" w:type="dxa"/>
              <w:left w:w="120" w:type="dxa"/>
              <w:right w:w="120" w:type="dxa"/>
            </w:tcMar>
          </w:tcPr>
          <w:p>
            <w:pPr>
              <w:spacing w:after="0"/>
            </w:pPr>
            <w:r>
              <w:rPr>
                <w:rFonts w:ascii="Arial" w:hAnsi="Arial"/>
                <w:b/>
                <w:color w:val="222222"/>
                <w:sz w:val="19"/>
              </w:rPr>
              <w:t>Assessment Title</w:t>
            </w:r>
          </w:p>
        </w:tc>
        <w:tc>
          <w:tcPr>
            <w:tcW w:type="dxa" w:w="6192"/>
            <w:tcMar>
              <w:top w:w="80" w:type="dxa"/>
              <w:bottom w:w="80" w:type="dxa"/>
              <w:left w:w="120" w:type="dxa"/>
              <w:right w:w="120" w:type="dxa"/>
            </w:tcMar>
          </w:tcPr>
          <w:p>
            <w:pPr>
              <w:spacing w:after="0"/>
            </w:pPr>
            <w:r>
              <w:rPr>
                <w:rFonts w:ascii="Arial" w:hAnsi="Arial"/>
                <w:color w:val="222222"/>
                <w:sz w:val="19"/>
              </w:rPr>
              <w:t>Project (Group) - Uncontrolled Group (40% Weightage)</w:t>
            </w:r>
          </w:p>
        </w:tc>
      </w:tr>
      <w:tr>
        <w:tc>
          <w:tcPr>
            <w:tcW w:type="dxa" w:w="3168"/>
            <w:shd w:fill="F4F6F9"/>
            <w:tcMar>
              <w:top w:w="80" w:type="dxa"/>
              <w:bottom w:w="80" w:type="dxa"/>
              <w:left w:w="120" w:type="dxa"/>
              <w:right w:w="120" w:type="dxa"/>
            </w:tcMar>
          </w:tcPr>
          <w:p>
            <w:pPr>
              <w:spacing w:after="0"/>
            </w:pPr>
            <w:r>
              <w:rPr>
                <w:rFonts w:ascii="Arial" w:hAnsi="Arial"/>
                <w:b/>
                <w:color w:val="222222"/>
                <w:sz w:val="19"/>
              </w:rPr>
              <w:t>Academic Stream &amp; Group</w:t>
            </w:r>
          </w:p>
        </w:tc>
        <w:tc>
          <w:tcPr>
            <w:tcW w:type="dxa" w:w="6192"/>
            <w:tcMar>
              <w:top w:w="80" w:type="dxa"/>
              <w:bottom w:w="80" w:type="dxa"/>
              <w:left w:w="120" w:type="dxa"/>
              <w:right w:w="120" w:type="dxa"/>
            </w:tcMar>
          </w:tcPr>
          <w:p>
            <w:pPr>
              <w:spacing w:after="0"/>
            </w:pPr>
            <w:r>
              <w:rPr>
                <w:rFonts w:ascii="Arial" w:hAnsi="Arial"/>
                <w:color w:val="222222"/>
                <w:sz w:val="19"/>
              </w:rPr>
              <w:t>Stream 05 | Group 1</w:t>
            </w:r>
          </w:p>
        </w:tc>
      </w:tr>
      <w:tr>
        <w:tc>
          <w:tcPr>
            <w:tcW w:type="dxa" w:w="3168"/>
            <w:shd w:fill="F4F6F9"/>
            <w:tcMar>
              <w:top w:w="80" w:type="dxa"/>
              <w:bottom w:w="80" w:type="dxa"/>
              <w:left w:w="120" w:type="dxa"/>
              <w:right w:w="120" w:type="dxa"/>
            </w:tcMar>
          </w:tcPr>
          <w:p>
            <w:pPr>
              <w:spacing w:after="0"/>
            </w:pPr>
            <w:r>
              <w:rPr>
                <w:rFonts w:ascii="Arial" w:hAnsi="Arial"/>
                <w:b/>
                <w:color w:val="222222"/>
                <w:sz w:val="19"/>
              </w:rPr>
              <w:t>Due Date</w:t>
            </w:r>
          </w:p>
        </w:tc>
        <w:tc>
          <w:tcPr>
            <w:tcW w:type="dxa" w:w="6192"/>
            <w:tcMar>
              <w:top w:w="80" w:type="dxa"/>
              <w:bottom w:w="80" w:type="dxa"/>
              <w:left w:w="120" w:type="dxa"/>
              <w:right w:w="120" w:type="dxa"/>
            </w:tcMar>
          </w:tcPr>
          <w:p>
            <w:pPr>
              <w:spacing w:after="0"/>
            </w:pPr>
            <w:r>
              <w:rPr>
                <w:rFonts w:ascii="Arial" w:hAnsi="Arial"/>
                <w:color w:val="222222"/>
                <w:sz w:val="19"/>
              </w:rPr>
              <w:t>15-Dec-2026 (11:55 PM)</w:t>
            </w:r>
          </w:p>
        </w:tc>
      </w:tr>
      <w:tr>
        <w:tc>
          <w:tcPr>
            <w:tcW w:type="dxa" w:w="3168"/>
            <w:shd w:fill="F4F6F9"/>
            <w:tcMar>
              <w:top w:w="80" w:type="dxa"/>
              <w:bottom w:w="80" w:type="dxa"/>
              <w:left w:w="120" w:type="dxa"/>
              <w:right w:w="120" w:type="dxa"/>
            </w:tcMar>
          </w:tcPr>
          <w:p>
            <w:pPr>
              <w:spacing w:after="0"/>
            </w:pPr>
            <w:r>
              <w:rPr>
                <w:rFonts w:ascii="Arial" w:hAnsi="Arial"/>
                <w:b/>
                <w:color w:val="222222"/>
                <w:sz w:val="19"/>
              </w:rPr>
              <w:t>Learning Outcomes Assessed</w:t>
            </w:r>
          </w:p>
        </w:tc>
        <w:tc>
          <w:tcPr>
            <w:tcW w:type="dxa" w:w="6192"/>
            <w:tcMar>
              <w:top w:w="80" w:type="dxa"/>
              <w:bottom w:w="80" w:type="dxa"/>
              <w:left w:w="120" w:type="dxa"/>
              <w:right w:w="120" w:type="dxa"/>
            </w:tcMar>
          </w:tcPr>
          <w:p>
            <w:pPr>
              <w:spacing w:after="0"/>
            </w:pPr>
            <w:r>
              <w:rPr>
                <w:rFonts w:ascii="Arial" w:hAnsi="Arial"/>
                <w:color w:val="222222"/>
                <w:sz w:val="19"/>
              </w:rPr>
              <w:t>CILO 1 and CILO 2</w:t>
            </w:r>
          </w:p>
        </w:tc>
      </w:tr>
      <w:tr>
        <w:tc>
          <w:tcPr>
            <w:tcW w:type="dxa" w:w="3168"/>
            <w:shd w:fill="F4F6F9"/>
            <w:tcMar>
              <w:top w:w="80" w:type="dxa"/>
              <w:bottom w:w="80" w:type="dxa"/>
              <w:left w:w="120" w:type="dxa"/>
              <w:right w:w="120" w:type="dxa"/>
            </w:tcMar>
          </w:tcPr>
          <w:p>
            <w:pPr>
              <w:spacing w:after="0"/>
            </w:pPr>
            <w:r>
              <w:rPr>
                <w:rFonts w:ascii="Arial" w:hAnsi="Arial"/>
                <w:b/>
                <w:color w:val="222222"/>
                <w:sz w:val="19"/>
              </w:rPr>
              <w:t>Submission Deliverables</w:t>
            </w:r>
          </w:p>
        </w:tc>
        <w:tc>
          <w:tcPr>
            <w:tcW w:type="dxa" w:w="6192"/>
            <w:tcMar>
              <w:top w:w="80" w:type="dxa"/>
              <w:bottom w:w="80" w:type="dxa"/>
              <w:left w:w="120" w:type="dxa"/>
              <w:right w:w="120" w:type="dxa"/>
            </w:tcMar>
          </w:tcPr>
          <w:p>
            <w:pPr>
              <w:spacing w:after="0"/>
            </w:pPr>
            <w:r>
              <w:rPr>
                <w:rFonts w:ascii="Arial" w:hAnsi="Arial"/>
                <w:color w:val="222222"/>
                <w:sz w:val="19"/>
              </w:rPr>
              <w:t>Zipped Folder: 05_202303596.zip (Jupyter Notebook &amp; Report)</w:t>
            </w:r>
          </w:p>
        </w:tc>
      </w:tr>
    </w:tbl>
    <w:p>
      <w:pPr>
        <w:spacing w:after="200"/>
      </w:pPr>
    </w:p>
    <w:p>
      <w:pPr>
        <w:spacing w:after="80"/>
      </w:pPr>
      <w:r>
        <w:rPr>
          <w:rFonts w:ascii="Arial" w:hAnsi="Arial"/>
          <w:b/>
          <w:color w:val="003366"/>
          <w:sz w:val="22"/>
        </w:rPr>
        <w:t>Project Group Membership &amp; Student Details:</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100" w:type="dxa"/>
              <w:bottom w:w="100" w:type="dxa"/>
              <w:left w:w="120" w:type="dxa"/>
              <w:right w:w="120" w:type="dxa"/>
            </w:tcMar>
          </w:tcPr>
          <w:p>
            <w:pPr>
              <w:spacing w:after="0"/>
            </w:pPr>
            <w:r>
              <w:rPr>
                <w:rFonts w:ascii="Arial" w:hAnsi="Arial"/>
                <w:b/>
                <w:color w:val="FFFFFF"/>
                <w:sz w:val="19"/>
              </w:rPr>
              <w:t>Student ID</w:t>
            </w:r>
          </w:p>
        </w:tc>
        <w:tc>
          <w:tcPr>
            <w:tcW w:type="dxa" w:w="3120"/>
            <w:shd w:fill="003366"/>
            <w:tcMar>
              <w:top w:w="100" w:type="dxa"/>
              <w:bottom w:w="100" w:type="dxa"/>
              <w:left w:w="120" w:type="dxa"/>
              <w:right w:w="120" w:type="dxa"/>
            </w:tcMar>
          </w:tcPr>
          <w:p>
            <w:pPr>
              <w:spacing w:after="0"/>
            </w:pPr>
            <w:r>
              <w:rPr>
                <w:rFonts w:ascii="Arial" w:hAnsi="Arial"/>
                <w:b/>
                <w:color w:val="FFFFFF"/>
                <w:sz w:val="19"/>
              </w:rPr>
              <w:t>Student Full Name</w:t>
            </w:r>
          </w:p>
        </w:tc>
        <w:tc>
          <w:tcPr>
            <w:tcW w:type="dxa" w:w="3120"/>
            <w:shd w:fill="003366"/>
            <w:tcMar>
              <w:top w:w="100" w:type="dxa"/>
              <w:bottom w:w="100" w:type="dxa"/>
              <w:left w:w="120" w:type="dxa"/>
              <w:right w:w="120" w:type="dxa"/>
            </w:tcMar>
          </w:tcPr>
          <w:p>
            <w:pPr>
              <w:spacing w:after="0"/>
            </w:pPr>
            <w:r>
              <w:rPr>
                <w:rFonts w:ascii="Arial" w:hAnsi="Arial"/>
                <w:b/>
                <w:color w:val="FFFFFF"/>
                <w:sz w:val="19"/>
              </w:rPr>
              <w:t>Project Role</w:t>
            </w:r>
          </w:p>
        </w:tc>
      </w:tr>
      <w:tr>
        <w:tc>
          <w:tcPr>
            <w:tcW w:type="dxa" w:w="3120"/>
            <w:shd w:fill="FFFFFF"/>
            <w:tcMar>
              <w:top w:w="80" w:type="dxa"/>
              <w:bottom w:w="80" w:type="dxa"/>
              <w:left w:w="120" w:type="dxa"/>
              <w:right w:w="120" w:type="dxa"/>
            </w:tcMar>
          </w:tcPr>
          <w:p>
            <w:pPr>
              <w:spacing w:after="0"/>
            </w:pPr>
            <w:r>
              <w:rPr>
                <w:rFonts w:ascii="Arial" w:hAnsi="Arial"/>
                <w:b/>
                <w:color w:val="222222"/>
                <w:sz w:val="18"/>
              </w:rPr>
              <w:t>202303596</w:t>
            </w:r>
          </w:p>
        </w:tc>
        <w:tc>
          <w:tcPr>
            <w:tcW w:type="dxa" w:w="3120"/>
            <w:shd w:fill="FFFFFF"/>
            <w:tcMar>
              <w:top w:w="80" w:type="dxa"/>
              <w:bottom w:w="80" w:type="dxa"/>
              <w:left w:w="120" w:type="dxa"/>
              <w:right w:w="120" w:type="dxa"/>
            </w:tcMar>
          </w:tcPr>
          <w:p>
            <w:pPr>
              <w:spacing w:after="0"/>
            </w:pPr>
            <w:r>
              <w:rPr>
                <w:rFonts w:ascii="Arial" w:hAnsi="Arial"/>
                <w:color w:val="222222"/>
                <w:sz w:val="18"/>
              </w:rPr>
              <w:t>Hasan Marhoon</w:t>
            </w:r>
          </w:p>
        </w:tc>
        <w:tc>
          <w:tcPr>
            <w:tcW w:type="dxa" w:w="3120"/>
            <w:shd w:fill="FFFFFF"/>
            <w:tcMar>
              <w:top w:w="80" w:type="dxa"/>
              <w:bottom w:w="80" w:type="dxa"/>
              <w:left w:w="120" w:type="dxa"/>
              <w:right w:w="120" w:type="dxa"/>
            </w:tcMar>
          </w:tcPr>
          <w:p>
            <w:pPr>
              <w:spacing w:after="0"/>
            </w:pPr>
            <w:r>
              <w:rPr>
                <w:rFonts w:ascii="Arial" w:hAnsi="Arial"/>
                <w:color w:val="222222"/>
                <w:sz w:val="18"/>
              </w:rPr>
              <w:t>Group Leader / Lead ML Engineer</w:t>
            </w:r>
          </w:p>
        </w:tc>
      </w:tr>
      <w:tr>
        <w:tc>
          <w:tcPr>
            <w:tcW w:type="dxa" w:w="3120"/>
            <w:shd w:fill="F9FAFC"/>
            <w:tcMar>
              <w:top w:w="80" w:type="dxa"/>
              <w:bottom w:w="80" w:type="dxa"/>
              <w:left w:w="120" w:type="dxa"/>
              <w:right w:w="120" w:type="dxa"/>
            </w:tcMar>
          </w:tcPr>
          <w:p>
            <w:pPr>
              <w:spacing w:after="0"/>
            </w:pPr>
            <w:r>
              <w:rPr>
                <w:rFonts w:ascii="Arial" w:hAnsi="Arial"/>
                <w:b/>
                <w:color w:val="222222"/>
                <w:sz w:val="18"/>
              </w:rPr>
              <w:t>202304831</w:t>
            </w:r>
          </w:p>
        </w:tc>
        <w:tc>
          <w:tcPr>
            <w:tcW w:type="dxa" w:w="3120"/>
            <w:shd w:fill="F9FAFC"/>
            <w:tcMar>
              <w:top w:w="80" w:type="dxa"/>
              <w:bottom w:w="80" w:type="dxa"/>
              <w:left w:w="120" w:type="dxa"/>
              <w:right w:w="120" w:type="dxa"/>
            </w:tcMar>
          </w:tcPr>
          <w:p>
            <w:pPr>
              <w:spacing w:after="0"/>
            </w:pPr>
            <w:r>
              <w:rPr>
                <w:rFonts w:ascii="Arial" w:hAnsi="Arial"/>
                <w:color w:val="222222"/>
                <w:sz w:val="18"/>
              </w:rPr>
              <w:t>Sayed Ali Almusawi</w:t>
            </w:r>
          </w:p>
        </w:tc>
        <w:tc>
          <w:tcPr>
            <w:tcW w:type="dxa" w:w="3120"/>
            <w:shd w:fill="F9FAFC"/>
            <w:tcMar>
              <w:top w:w="80" w:type="dxa"/>
              <w:bottom w:w="80" w:type="dxa"/>
              <w:left w:w="120" w:type="dxa"/>
              <w:right w:w="120" w:type="dxa"/>
            </w:tcMar>
          </w:tcPr>
          <w:p>
            <w:pPr>
              <w:spacing w:after="0"/>
            </w:pPr>
            <w:r>
              <w:rPr>
                <w:rFonts w:ascii="Arial" w:hAnsi="Arial"/>
                <w:color w:val="222222"/>
                <w:sz w:val="18"/>
              </w:rPr>
              <w:t>Data Preprocessing &amp; Feature Engineering</w:t>
            </w:r>
          </w:p>
        </w:tc>
      </w:tr>
      <w:tr>
        <w:tc>
          <w:tcPr>
            <w:tcW w:type="dxa" w:w="3120"/>
            <w:shd w:fill="FFFFFF"/>
            <w:tcMar>
              <w:top w:w="80" w:type="dxa"/>
              <w:bottom w:w="80" w:type="dxa"/>
              <w:left w:w="120" w:type="dxa"/>
              <w:right w:w="120" w:type="dxa"/>
            </w:tcMar>
          </w:tcPr>
          <w:p>
            <w:pPr>
              <w:spacing w:after="0"/>
            </w:pPr>
            <w:r>
              <w:rPr>
                <w:rFonts w:ascii="Arial" w:hAnsi="Arial"/>
                <w:b/>
                <w:color w:val="222222"/>
                <w:sz w:val="18"/>
              </w:rPr>
              <w:t>202304829</w:t>
            </w:r>
          </w:p>
        </w:tc>
        <w:tc>
          <w:tcPr>
            <w:tcW w:type="dxa" w:w="3120"/>
            <w:shd w:fill="FFFFFF"/>
            <w:tcMar>
              <w:top w:w="80" w:type="dxa"/>
              <w:bottom w:w="80" w:type="dxa"/>
              <w:left w:w="120" w:type="dxa"/>
              <w:right w:w="120" w:type="dxa"/>
            </w:tcMar>
          </w:tcPr>
          <w:p>
            <w:pPr>
              <w:spacing w:after="0"/>
            </w:pPr>
            <w:r>
              <w:rPr>
                <w:rFonts w:ascii="Arial" w:hAnsi="Arial"/>
                <w:color w:val="222222"/>
                <w:sz w:val="18"/>
              </w:rPr>
              <w:t>Hussain Ali</w:t>
            </w:r>
          </w:p>
        </w:tc>
        <w:tc>
          <w:tcPr>
            <w:tcW w:type="dxa" w:w="3120"/>
            <w:shd w:fill="FFFFFF"/>
            <w:tcMar>
              <w:top w:w="80" w:type="dxa"/>
              <w:bottom w:w="80" w:type="dxa"/>
              <w:left w:w="120" w:type="dxa"/>
              <w:right w:w="120" w:type="dxa"/>
            </w:tcMar>
          </w:tcPr>
          <w:p>
            <w:pPr>
              <w:spacing w:after="0"/>
            </w:pPr>
            <w:r>
              <w:rPr>
                <w:rFonts w:ascii="Arial" w:hAnsi="Arial"/>
                <w:color w:val="222222"/>
                <w:sz w:val="18"/>
              </w:rPr>
              <w:t>Time Series Modeling &amp; Forecaster</w:t>
            </w:r>
          </w:p>
        </w:tc>
      </w:tr>
      <w:tr>
        <w:tc>
          <w:tcPr>
            <w:tcW w:type="dxa" w:w="3120"/>
            <w:shd w:fill="F9FAFC"/>
            <w:tcMar>
              <w:top w:w="80" w:type="dxa"/>
              <w:bottom w:w="80" w:type="dxa"/>
              <w:left w:w="120" w:type="dxa"/>
              <w:right w:w="120" w:type="dxa"/>
            </w:tcMar>
          </w:tcPr>
          <w:p>
            <w:pPr>
              <w:spacing w:after="0"/>
            </w:pPr>
            <w:r>
              <w:rPr>
                <w:rFonts w:ascii="Arial" w:hAnsi="Arial"/>
                <w:b/>
                <w:color w:val="222222"/>
                <w:sz w:val="18"/>
              </w:rPr>
              <w:t>202305013</w:t>
            </w:r>
          </w:p>
        </w:tc>
        <w:tc>
          <w:tcPr>
            <w:tcW w:type="dxa" w:w="3120"/>
            <w:shd w:fill="F9FAFC"/>
            <w:tcMar>
              <w:top w:w="80" w:type="dxa"/>
              <w:bottom w:w="80" w:type="dxa"/>
              <w:left w:w="120" w:type="dxa"/>
              <w:right w:w="120" w:type="dxa"/>
            </w:tcMar>
          </w:tcPr>
          <w:p>
            <w:pPr>
              <w:spacing w:after="0"/>
            </w:pPr>
            <w:r>
              <w:rPr>
                <w:rFonts w:ascii="Arial" w:hAnsi="Arial"/>
                <w:color w:val="222222"/>
                <w:sz w:val="18"/>
              </w:rPr>
              <w:t>Sayed Sadeq</w:t>
            </w:r>
          </w:p>
        </w:tc>
        <w:tc>
          <w:tcPr>
            <w:tcW w:type="dxa" w:w="3120"/>
            <w:shd w:fill="F9FAFC"/>
            <w:tcMar>
              <w:top w:w="80" w:type="dxa"/>
              <w:bottom w:w="80" w:type="dxa"/>
              <w:left w:w="120" w:type="dxa"/>
              <w:right w:w="120" w:type="dxa"/>
            </w:tcMar>
          </w:tcPr>
          <w:p>
            <w:pPr>
              <w:spacing w:after="0"/>
            </w:pPr>
            <w:r>
              <w:rPr>
                <w:rFonts w:ascii="Arial" w:hAnsi="Arial"/>
                <w:color w:val="222222"/>
                <w:sz w:val="18"/>
              </w:rPr>
              <w:t>Classification Modeling &amp; Imbalance Tuning</w:t>
            </w:r>
          </w:p>
        </w:tc>
      </w:tr>
      <w:tr>
        <w:tc>
          <w:tcPr>
            <w:tcW w:type="dxa" w:w="3120"/>
            <w:shd w:fill="FFFFFF"/>
            <w:tcMar>
              <w:top w:w="80" w:type="dxa"/>
              <w:bottom w:w="80" w:type="dxa"/>
              <w:left w:w="120" w:type="dxa"/>
              <w:right w:w="120" w:type="dxa"/>
            </w:tcMar>
          </w:tcPr>
          <w:p>
            <w:pPr>
              <w:spacing w:after="0"/>
            </w:pPr>
            <w:r>
              <w:rPr>
                <w:rFonts w:ascii="Arial" w:hAnsi="Arial"/>
                <w:b/>
                <w:color w:val="222222"/>
                <w:sz w:val="18"/>
              </w:rPr>
              <w:t>202304419</w:t>
            </w:r>
          </w:p>
        </w:tc>
        <w:tc>
          <w:tcPr>
            <w:tcW w:type="dxa" w:w="3120"/>
            <w:shd w:fill="FFFFFF"/>
            <w:tcMar>
              <w:top w:w="80" w:type="dxa"/>
              <w:bottom w:w="80" w:type="dxa"/>
              <w:left w:w="120" w:type="dxa"/>
              <w:right w:w="120" w:type="dxa"/>
            </w:tcMar>
          </w:tcPr>
          <w:p>
            <w:pPr>
              <w:spacing w:after="0"/>
            </w:pPr>
            <w:r>
              <w:rPr>
                <w:rFonts w:ascii="Arial" w:hAnsi="Arial"/>
                <w:color w:val="222222"/>
                <w:sz w:val="18"/>
              </w:rPr>
              <w:t>Ali Yusuf</w:t>
            </w:r>
          </w:p>
        </w:tc>
        <w:tc>
          <w:tcPr>
            <w:tcW w:type="dxa" w:w="3120"/>
            <w:shd w:fill="FFFFFF"/>
            <w:tcMar>
              <w:top w:w="80" w:type="dxa"/>
              <w:bottom w:w="80" w:type="dxa"/>
              <w:left w:w="120" w:type="dxa"/>
              <w:right w:w="120" w:type="dxa"/>
            </w:tcMar>
          </w:tcPr>
          <w:p>
            <w:pPr>
              <w:spacing w:after="0"/>
            </w:pPr>
            <w:r>
              <w:rPr>
                <w:rFonts w:ascii="Arial" w:hAnsi="Arial"/>
                <w:color w:val="222222"/>
                <w:sz w:val="18"/>
              </w:rPr>
              <w:t>Regression Modeling &amp; Evaluation Analysis</w:t>
            </w:r>
          </w:p>
        </w:tc>
      </w:tr>
    </w:tbl>
    <w:p>
      <w:pPr>
        <w:spacing w:after="240"/>
      </w:pP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after="0" w:line="276" w:lineRule="auto"/>
            </w:pPr>
            <w:r>
              <w:rPr>
                <w:rFonts w:ascii="Arial" w:hAnsi="Arial"/>
                <w:b/>
                <w:color w:val="003366"/>
                <w:sz w:val="21"/>
              </w:rPr>
              <w:t xml:space="preserve">Learner Affirmation &amp; Academic Integrity Statement: </w:t>
            </w:r>
            <w:r>
              <w:rPr>
                <w:rFonts w:ascii="Arial" w:hAnsi="Arial"/>
                <w:i/>
                <w:color w:val="222222"/>
                <w:sz w:val="20"/>
              </w:rPr>
              <w:t>By submitting this assessment for marking, I affirm that this assessment is my own group's work, that all research sources and references consulted have been properly acknowledged and cited, and that all guidelines regarding academic integrity have been strictly observed.</w:t>
            </w:r>
          </w:p>
        </w:tc>
      </w:tr>
    </w:tbl>
    <w:p>
      <w:pPr>
        <w:spacing w:after="80"/>
      </w:pPr>
    </w:p>
    <w:tbl>
      <w:tblPr>
        <w:tblW w:type="auto" w:w="0"/>
        <w:jc w:val="center"/>
        <w:tblLook w:firstColumn="1" w:firstRow="1" w:lastColumn="0" w:lastRow="0" w:noHBand="0" w:noVBand="1" w:val="04A0"/>
      </w:tblPr>
      <w:tblGrid>
        <w:gridCol w:w="3120"/>
        <w:gridCol w:w="3120"/>
        <w:gridCol w:w="3120"/>
      </w:tblGrid>
      <w:tr>
        <w:tc>
          <w:tcPr>
            <w:tcW w:type="dxa" w:w="3120"/>
            <w:shd w:fill="F4F6F9"/>
            <w:tcMar>
              <w:top w:w="80" w:type="dxa"/>
              <w:bottom w:w="80" w:type="dxa"/>
              <w:left w:w="100" w:type="dxa"/>
              <w:right w:w="100" w:type="dxa"/>
            </w:tcMar>
          </w:tcPr>
          <w:p>
            <w:pPr>
              <w:spacing w:after="0"/>
            </w:pPr>
            <w:r>
              <w:rPr>
                <w:rFonts w:ascii="Arial" w:hAnsi="Arial"/>
                <w:b/>
                <w:color w:val="222222"/>
                <w:sz w:val="18"/>
              </w:rPr>
              <w:t>Assessor Name</w:t>
            </w:r>
          </w:p>
        </w:tc>
        <w:tc>
          <w:tcPr>
            <w:tcW w:type="dxa" w:w="3120"/>
            <w:shd w:fill="F4F6F9"/>
            <w:tcMar>
              <w:top w:w="80" w:type="dxa"/>
              <w:bottom w:w="80" w:type="dxa"/>
              <w:left w:w="100" w:type="dxa"/>
              <w:right w:w="100" w:type="dxa"/>
            </w:tcMar>
          </w:tcPr>
          <w:p>
            <w:pPr>
              <w:spacing w:after="0"/>
            </w:pPr>
            <w:r>
              <w:rPr>
                <w:rFonts w:ascii="Arial" w:hAnsi="Arial"/>
                <w:b/>
                <w:color w:val="222222"/>
                <w:sz w:val="18"/>
              </w:rPr>
              <w:t>Marking Date</w:t>
            </w:r>
          </w:p>
        </w:tc>
        <w:tc>
          <w:tcPr>
            <w:tcW w:type="dxa" w:w="3120"/>
            <w:shd w:fill="F4F6F9"/>
            <w:tcMar>
              <w:top w:w="80" w:type="dxa"/>
              <w:bottom w:w="80" w:type="dxa"/>
              <w:left w:w="100" w:type="dxa"/>
              <w:right w:w="100" w:type="dxa"/>
            </w:tcMar>
          </w:tcPr>
          <w:p>
            <w:pPr>
              <w:spacing w:after="0"/>
            </w:pPr>
            <w:r>
              <w:rPr>
                <w:rFonts w:ascii="Arial" w:hAnsi="Arial"/>
                <w:b/>
                <w:color w:val="222222"/>
                <w:sz w:val="18"/>
              </w:rPr>
              <w:t>Marks Obtained (out of 40%)</w:t>
            </w:r>
          </w:p>
        </w:tc>
      </w:tr>
      <w:tr>
        <w:tc>
          <w:tcPr>
            <w:tcW w:type="dxa" w:w="3120"/>
            <w:tcMar>
              <w:top w:w="150" w:type="dxa"/>
              <w:bottom w:w="150" w:type="dxa"/>
              <w:left w:w="100" w:type="dxa"/>
              <w:right w:w="100" w:type="dxa"/>
            </w:tcMar>
          </w:tcPr>
          <w:p>
            <w:pPr>
              <w:spacing w:after="0"/>
            </w:pPr>
            <w:r>
              <w:rPr>
                <w:rFonts w:ascii="Arial" w:hAnsi="Arial"/>
                <w:i/>
                <w:color w:val="646E78"/>
                <w:sz w:val="17"/>
              </w:rPr>
              <w:t>[ Assessor Official Use Only ]</w:t>
            </w:r>
          </w:p>
        </w:tc>
        <w:tc>
          <w:tcPr>
            <w:tcW w:type="dxa" w:w="3120"/>
            <w:tcMar>
              <w:top w:w="150" w:type="dxa"/>
              <w:bottom w:w="150" w:type="dxa"/>
              <w:left w:w="100" w:type="dxa"/>
              <w:right w:w="100" w:type="dxa"/>
            </w:tcMar>
          </w:tcPr>
          <w:p>
            <w:pPr>
              <w:spacing w:after="0"/>
            </w:pPr>
            <w:r>
              <w:rPr>
                <w:rFonts w:ascii="Arial" w:hAnsi="Arial"/>
                <w:i/>
                <w:color w:val="646E78"/>
                <w:sz w:val="17"/>
              </w:rPr>
              <w:t>[ Assessor Official Use Only ]</w:t>
            </w:r>
          </w:p>
        </w:tc>
        <w:tc>
          <w:tcPr>
            <w:tcW w:type="dxa" w:w="3120"/>
            <w:tcMar>
              <w:top w:w="150" w:type="dxa"/>
              <w:bottom w:w="150" w:type="dxa"/>
              <w:left w:w="100" w:type="dxa"/>
              <w:right w:w="100" w:type="dxa"/>
            </w:tcMar>
          </w:tcPr>
          <w:p>
            <w:pPr>
              <w:spacing w:after="0"/>
            </w:pPr>
            <w:r>
              <w:rPr>
                <w:rFonts w:ascii="Arial" w:hAnsi="Arial"/>
                <w:i/>
                <w:color w:val="646E78"/>
                <w:sz w:val="17"/>
              </w:rPr>
              <w:t>[ Assessor Official Use Only ]</w:t>
            </w:r>
          </w:p>
        </w:tc>
      </w:tr>
    </w:tbl>
    <w:p>
      <w:r>
        <w:br w:type="page"/>
      </w:r>
    </w:p>
    <w:p>
      <w:pPr>
        <w:keepNext/>
        <w:spacing w:before="360" w:after="120"/>
      </w:pPr>
      <w:r>
        <w:rPr>
          <w:rFonts w:ascii="Arial" w:hAnsi="Arial"/>
          <w:b/>
          <w:color w:val="003366"/>
          <w:sz w:val="32"/>
        </w:rPr>
        <w:t>Executive Summary</w:t>
      </w:r>
    </w:p>
    <w:p>
      <w:pPr>
        <w:spacing w:after="120" w:line="276" w:lineRule="auto"/>
      </w:pPr>
      <w:r>
        <w:rPr>
          <w:rFonts w:ascii="Arial" w:hAnsi="Arial"/>
          <w:color w:val="222222"/>
          <w:sz w:val="21"/>
        </w:rPr>
        <w:t>In contemporary higher education institutions, expanding student enrollments and diverse learning pathways create significant challenges for academic advisors and instructors monitoring student progress. This investigation develops an end-to-end intelligent performance analytics pipeline built upon 154,314 longitudinal course-enrollment records across eight academic semesters (2020Spring through 2023Fall). By combining rigorous data anomaly handling, longitudinal student-level feature engineering, regression modeling, multi-class imbalanced classification, and student-level time series forecasting, this study provides actionable, data-driven methodologies to detect at-risk students and forecast academic achievement.</w:t>
      </w:r>
    </w:p>
    <w:p>
      <w:pPr>
        <w:spacing w:after="120" w:line="276" w:lineRule="auto"/>
      </w:pPr>
      <w:r>
        <w:rPr>
          <w:rFonts w:ascii="Arial" w:hAnsi="Arial"/>
          <w:color w:val="222222"/>
          <w:sz w:val="21"/>
        </w:rPr>
        <w:t>Rigorous data quality exploration revealed 780 corrupted synthetic records ('ERR' letter grades with negative and overflowing numerical marks) and 762 invalid GPA entries. Following systematic data cleaning and leakage-free median imputation, temporal lag variables (prior-semester exam averages, attendance rates, and homework averages) were engineered by establishing a continuous chronological timeline. For final exam score prediction, ensemble architectures (Tuned LightGBM, RMSE = 7.8878, R² = 0.3635) outperformed single decision trees. In multi-class letter grade prediction (A through F), class-weighted cost-sensitive learning addressed severe minority class imbalance (Grade F representing only 0.35% of records), increasing minority recall from 0% to over 34.4% while strictly eliminating data leakage by excluding numeric_grade. Longitudinal forecasting for Student #2 using Exponential Smoothing and ARIMA models demonstrated reliable trajectory tracking (RMSE = 5.75). The resulting analytical framework equips educational administrators with proactive decision-support tools for early academic intervention.</w:t>
      </w:r>
    </w:p>
    <w:p>
      <w:pPr>
        <w:spacing w:after="160"/>
      </w:pPr>
    </w:p>
    <w:p>
      <w:pPr>
        <w:keepNext/>
        <w:spacing w:before="280" w:after="80"/>
      </w:pPr>
      <w:r>
        <w:rPr>
          <w:rFonts w:ascii="Arial" w:hAnsi="Arial"/>
          <w:b/>
          <w:color w:val="4A607A"/>
          <w:sz w:val="26"/>
        </w:rPr>
        <w:t>Report Structure &amp; Table of Contents</w:t>
      </w:r>
    </w:p>
    <w:p>
      <w:pPr>
        <w:spacing w:after="60"/>
      </w:pPr>
      <w:r>
        <w:rPr>
          <w:rFonts w:ascii="Arial" w:hAnsi="Arial"/>
          <w:b/>
          <w:color w:val="003366"/>
        </w:rPr>
        <w:t xml:space="preserve">• Section a: </w:t>
      </w:r>
      <w:r>
        <w:rPr>
          <w:rFonts w:ascii="Arial" w:hAnsi="Arial"/>
          <w:color w:val="222222"/>
        </w:rPr>
        <w:t>Problem Explanation and Relevance in Modern Higher Education</w:t>
      </w:r>
    </w:p>
    <w:p>
      <w:pPr>
        <w:spacing w:after="60"/>
      </w:pPr>
      <w:r>
        <w:rPr>
          <w:rFonts w:ascii="Arial" w:hAnsi="Arial"/>
          <w:b/>
          <w:color w:val="003366"/>
        </w:rPr>
        <w:t xml:space="preserve">• Section b: </w:t>
      </w:r>
      <w:r>
        <w:rPr>
          <w:rFonts w:ascii="Arial" w:hAnsi="Arial"/>
          <w:color w:val="222222"/>
        </w:rPr>
        <w:t>Project Objectives and the AI-Based Machine Learning Architecture</w:t>
      </w:r>
    </w:p>
    <w:p>
      <w:pPr>
        <w:spacing w:after="60"/>
      </w:pPr>
      <w:r>
        <w:rPr>
          <w:rFonts w:ascii="Arial" w:hAnsi="Arial"/>
          <w:b/>
          <w:color w:val="003366"/>
        </w:rPr>
        <w:t xml:space="preserve">• Section c: </w:t>
      </w:r>
      <w:r>
        <w:rPr>
          <w:rFonts w:ascii="Arial" w:hAnsi="Arial"/>
          <w:color w:val="222222"/>
        </w:rPr>
        <w:t>Dataset Exploration, Anomaly Detection, Cleaning, and Feature Engineering</w:t>
      </w:r>
    </w:p>
    <w:p>
      <w:pPr>
        <w:spacing w:after="60"/>
      </w:pPr>
      <w:r>
        <w:rPr>
          <w:rFonts w:ascii="Arial" w:hAnsi="Arial"/>
          <w:b/>
          <w:color w:val="003366"/>
        </w:rPr>
        <w:t xml:space="preserve">• Section d: </w:t>
      </w:r>
      <w:r>
        <w:rPr>
          <w:rFonts w:ascii="Arial" w:hAnsi="Arial"/>
          <w:color w:val="222222"/>
        </w:rPr>
        <w:t>Machine Learning Methodology, Formulations, and Technical Rationale</w:t>
      </w:r>
    </w:p>
    <w:p>
      <w:pPr>
        <w:spacing w:after="60"/>
      </w:pPr>
      <w:r>
        <w:rPr>
          <w:rFonts w:ascii="Arial" w:hAnsi="Arial"/>
          <w:b/>
          <w:color w:val="003366"/>
        </w:rPr>
        <w:t xml:space="preserve">• Section e: </w:t>
      </w:r>
      <w:r>
        <w:rPr>
          <w:rFonts w:ascii="Arial" w:hAnsi="Arial"/>
          <w:color w:val="222222"/>
        </w:rPr>
        <w:t>Empirical Evaluation, Benchmarking Results, and Comparative Performance</w:t>
      </w:r>
    </w:p>
    <w:p>
      <w:pPr>
        <w:spacing w:after="60"/>
      </w:pPr>
      <w:r>
        <w:rPr>
          <w:rFonts w:ascii="Arial" w:hAnsi="Arial"/>
          <w:b/>
          <w:color w:val="003366"/>
        </w:rPr>
        <w:t xml:space="preserve">• Section f: </w:t>
      </w:r>
      <w:r>
        <w:rPr>
          <w:rFonts w:ascii="Arial" w:hAnsi="Arial"/>
          <w:color w:val="222222"/>
        </w:rPr>
        <w:t>Model Interpretation, Influential Features, and Academic Behavioral Insights</w:t>
      </w:r>
    </w:p>
    <w:p>
      <w:pPr>
        <w:spacing w:after="60"/>
      </w:pPr>
      <w:r>
        <w:rPr>
          <w:rFonts w:ascii="Arial" w:hAnsi="Arial"/>
          <w:b/>
          <w:color w:val="003366"/>
        </w:rPr>
        <w:t xml:space="preserve">• Section g: </w:t>
      </w:r>
      <w:r>
        <w:rPr>
          <w:rFonts w:ascii="Arial" w:hAnsi="Arial"/>
          <w:color w:val="222222"/>
        </w:rPr>
        <w:t>Practical Educational Implications, Ethical Considerations, and Limitations</w:t>
      </w:r>
    </w:p>
    <w:p>
      <w:pPr>
        <w:spacing w:after="60"/>
      </w:pPr>
      <w:r>
        <w:rPr>
          <w:rFonts w:ascii="Arial" w:hAnsi="Arial"/>
          <w:b/>
          <w:color w:val="003366"/>
        </w:rPr>
        <w:t xml:space="preserve">• Section h: </w:t>
      </w:r>
      <w:r>
        <w:rPr>
          <w:rFonts w:ascii="Arial" w:hAnsi="Arial"/>
          <w:color w:val="222222"/>
        </w:rPr>
        <w:t>Overall Synthesis, Key Conclusions, and Future Enhancements</w:t>
      </w:r>
    </w:p>
    <w:p>
      <w:pPr>
        <w:spacing w:after="60"/>
      </w:pPr>
      <w:r>
        <w:rPr>
          <w:rFonts w:ascii="Arial" w:hAnsi="Arial"/>
          <w:b/>
          <w:color w:val="003366"/>
        </w:rPr>
        <w:t xml:space="preserve">• References: </w:t>
      </w:r>
      <w:r>
        <w:rPr>
          <w:rFonts w:ascii="Arial" w:hAnsi="Arial"/>
          <w:color w:val="222222"/>
        </w:rPr>
        <w:t>Scholarly References (IEEE Style)</w:t>
      </w:r>
    </w:p>
    <w:p>
      <w:r>
        <w:br w:type="page"/>
      </w:r>
    </w:p>
    <w:p>
      <w:pPr>
        <w:keepNext/>
        <w:spacing w:before="360" w:after="120"/>
      </w:pPr>
      <w:r>
        <w:rPr>
          <w:rFonts w:ascii="Arial" w:hAnsi="Arial"/>
          <w:b/>
          <w:color w:val="003366"/>
          <w:sz w:val="32"/>
        </w:rPr>
        <w:t>Section a: Problem Explanation &amp; Educational Domain Relevance</w:t>
      </w:r>
    </w:p>
    <w:p>
      <w:pPr>
        <w:keepNext/>
        <w:spacing w:before="280" w:after="80"/>
      </w:pPr>
      <w:r>
        <w:rPr>
          <w:rFonts w:ascii="Arial" w:hAnsi="Arial"/>
          <w:b/>
          <w:color w:val="4A607A"/>
          <w:sz w:val="26"/>
        </w:rPr>
        <w:t>a.1 The Challenge of Student Attrition and Performance Monitoring</w:t>
      </w:r>
    </w:p>
    <w:p>
      <w:pPr>
        <w:spacing w:after="120" w:line="276" w:lineRule="auto"/>
      </w:pPr>
      <w:r>
        <w:rPr>
          <w:rFonts w:ascii="Arial" w:hAnsi="Arial"/>
          <w:color w:val="222222"/>
          <w:sz w:val="21"/>
        </w:rPr>
        <w:t>Modern universities and polytechnics operate within highly dynamic educational environments characterized by growing student cohorts, modular curricula, and varied student backgrounds. In this context, identifying students at risk of course failure or academic probation has traditionally relied on reactive assessments—often occurring after midterm examinations or final grading cycles when academic intervention comes too late. Educational researchers emphasize that timely, proactive academic advising can dramatically reduce course withdrawal rates, prevent academic dismissal, and improve degree completion metrics [1], [2].</w:t>
      </w:r>
    </w:p>
    <w:p>
      <w:pPr>
        <w:spacing w:after="120" w:line="276" w:lineRule="auto"/>
      </w:pPr>
      <w:r>
        <w:rPr>
          <w:rFonts w:ascii="Arial" w:hAnsi="Arial"/>
          <w:color w:val="222222"/>
          <w:sz w:val="21"/>
        </w:rPr>
        <w:t>However, academic staff and academic advisors cannot manually monitor thousands of student records across multiple courses, disciplines, and semesters. Academic performance is multifactorial, influenced by study habits, continuous formative assessment (homework assignments), attendance engagement, course credit loads, historical GPA, and temporal momentum. An intelligent machine learning pipeline capable of analyzing structured academic records enables institutions to detect negative trajectory patterns early in a semester, prioritize advising resources toward vulnerable learners, and deliver personalized academic support.</w:t>
      </w:r>
    </w:p>
    <w:p>
      <w:pPr>
        <w:keepNext/>
        <w:spacing w:before="280" w:after="80"/>
      </w:pPr>
      <w:r>
        <w:rPr>
          <w:rFonts w:ascii="Arial" w:hAnsi="Arial"/>
          <w:b/>
          <w:color w:val="4A607A"/>
          <w:sz w:val="26"/>
        </w:rPr>
        <w:t>a.2 Project Context &amp; Scope</w:t>
      </w:r>
    </w:p>
    <w:p>
      <w:pPr>
        <w:spacing w:after="120" w:line="276" w:lineRule="auto"/>
      </w:pPr>
      <w:r>
        <w:rPr>
          <w:rFonts w:ascii="Arial" w:hAnsi="Arial"/>
          <w:color w:val="222222"/>
          <w:sz w:val="21"/>
        </w:rPr>
        <w:t>Simulating real-world higher education operations, this project develops an integrated machine learning solution utilizing institutional data from Bahrain Polytechnic's academic environment. The analytical pipeline encompasses regression modeling to estimate continuous final examination scores, multi-class classification to categorize final letter grades (A through F), and longitudinal time-series forecasting to track individual student trajectories across eight semesters. The resulting models provide institutional stakeholders with predictive accuracy and transparent interpretability necessary for ethical educational deployment.</w:t>
      </w:r>
    </w:p>
    <w:p>
      <w:pPr>
        <w:keepNext/>
        <w:spacing w:before="360" w:after="120"/>
      </w:pPr>
      <w:r>
        <w:rPr>
          <w:rFonts w:ascii="Arial" w:hAnsi="Arial"/>
          <w:b/>
          <w:color w:val="003366"/>
          <w:sz w:val="32"/>
        </w:rPr>
        <w:t>Section b: Project Objectives &amp; AI Architecture</w:t>
      </w:r>
    </w:p>
    <w:p>
      <w:pPr>
        <w:keepNext/>
        <w:spacing w:before="280" w:after="80"/>
      </w:pPr>
      <w:r>
        <w:rPr>
          <w:rFonts w:ascii="Arial" w:hAnsi="Arial"/>
          <w:b/>
          <w:color w:val="4A607A"/>
          <w:sz w:val="26"/>
        </w:rPr>
        <w:t>b.1 Statement of Project Objectives</w:t>
      </w:r>
    </w:p>
    <w:p>
      <w:pPr>
        <w:spacing w:after="120" w:line="276" w:lineRule="auto"/>
      </w:pPr>
      <w:r>
        <w:rPr>
          <w:rFonts w:ascii="Arial" w:hAnsi="Arial"/>
          <w:color w:val="222222"/>
          <w:sz w:val="21"/>
        </w:rPr>
        <w:t>The primary objective of this project is to construct, evaluate, and interpret a modular machine learning pipeline addressing eight core analytical milestones established by the IT7103 specification:</w:t>
      </w:r>
    </w:p>
    <w:p>
      <w:pPr>
        <w:spacing w:after="120" w:line="276" w:lineRule="auto"/>
      </w:pPr>
      <w:r>
        <w:rPr>
          <w:rFonts w:ascii="Arial" w:hAnsi="Arial"/>
          <w:b/>
          <w:color w:val="222222"/>
          <w:sz w:val="21"/>
        </w:rPr>
        <w:t xml:space="preserve">1. Data Anomaly Detection &amp; Outlier Engineering: </w:t>
      </w:r>
      <w:r>
        <w:rPr>
          <w:rFonts w:ascii="Arial" w:hAnsi="Arial"/>
          <w:color w:val="222222"/>
          <w:sz w:val="21"/>
        </w:rPr>
        <w:t>Examine 154,314 raw academic records to detect synthetic errors, erroneous entries, and impossible measurements; establish robust, leakage-free cleaning protocols.</w:t>
      </w:r>
    </w:p>
    <w:p>
      <w:pPr>
        <w:spacing w:after="120" w:line="276" w:lineRule="auto"/>
      </w:pPr>
      <w:r>
        <w:rPr>
          <w:rFonts w:ascii="Arial" w:hAnsi="Arial"/>
          <w:b/>
          <w:color w:val="222222"/>
          <w:sz w:val="21"/>
        </w:rPr>
        <w:t xml:space="preserve">2. Temporal Preprocessing &amp; Feature Engineering: </w:t>
      </w:r>
      <w:r>
        <w:rPr>
          <w:rFonts w:ascii="Arial" w:hAnsi="Arial"/>
          <w:color w:val="222222"/>
          <w:sz w:val="21"/>
        </w:rPr>
        <w:t>Establish a continuous 8-semester chronological sequence, compute student-level temporal lags and rolling statistics, and create domain interaction indicators.</w:t>
      </w:r>
    </w:p>
    <w:p>
      <w:pPr>
        <w:spacing w:after="120" w:line="276" w:lineRule="auto"/>
      </w:pPr>
      <w:r>
        <w:rPr>
          <w:rFonts w:ascii="Arial" w:hAnsi="Arial"/>
          <w:b/>
          <w:color w:val="222222"/>
          <w:sz w:val="21"/>
        </w:rPr>
        <w:t xml:space="preserve">3. Correlation &amp; Macro Time Series Analysis: </w:t>
      </w:r>
      <w:r>
        <w:rPr>
          <w:rFonts w:ascii="Arial" w:hAnsi="Arial"/>
          <w:color w:val="222222"/>
          <w:sz w:val="21"/>
        </w:rPr>
        <w:t>Quantify bivariate relationships between academic drivers and outcomes, evaluating semester-over-semester cohort trends.</w:t>
      </w:r>
    </w:p>
    <w:p>
      <w:pPr>
        <w:spacing w:after="120" w:line="276" w:lineRule="auto"/>
      </w:pPr>
      <w:r>
        <w:rPr>
          <w:rFonts w:ascii="Arial" w:hAnsi="Arial"/>
          <w:b/>
          <w:color w:val="222222"/>
          <w:sz w:val="21"/>
        </w:rPr>
        <w:t xml:space="preserve">4. Regression Modeling for Final Exam Prediction: </w:t>
      </w:r>
      <w:r>
        <w:rPr>
          <w:rFonts w:ascii="Arial" w:hAnsi="Arial"/>
          <w:color w:val="222222"/>
          <w:sz w:val="21"/>
        </w:rPr>
        <w:t>Construct and benchmark single and ensemble regression models to forecast final_exam scores, evaluating performance via RMSE, MAE, R², and MAPE.</w:t>
      </w:r>
    </w:p>
    <w:p>
      <w:pPr>
        <w:spacing w:after="120" w:line="276" w:lineRule="auto"/>
      </w:pPr>
      <w:r>
        <w:rPr>
          <w:rFonts w:ascii="Arial" w:hAnsi="Arial"/>
          <w:b/>
          <w:color w:val="222222"/>
          <w:sz w:val="21"/>
        </w:rPr>
        <w:t xml:space="preserve">5. Multi-Class Classification for Grade Prediction: </w:t>
      </w:r>
      <w:r>
        <w:rPr>
          <w:rFonts w:ascii="Arial" w:hAnsi="Arial"/>
          <w:color w:val="222222"/>
          <w:sz w:val="21"/>
        </w:rPr>
        <w:t>Predict discrete letter grades (A, A-, B+, B, B-, C+, C, C-, D, F) while strictly preventing data leakage by eliminating numeric_grade, employing class balancing to handle extreme minority imbalance.</w:t>
      </w:r>
    </w:p>
    <w:p>
      <w:pPr>
        <w:spacing w:after="120" w:line="276" w:lineRule="auto"/>
      </w:pPr>
      <w:r>
        <w:rPr>
          <w:rFonts w:ascii="Arial" w:hAnsi="Arial"/>
          <w:b/>
          <w:color w:val="222222"/>
          <w:sz w:val="21"/>
        </w:rPr>
        <w:t xml:space="preserve">6. Individual Longitudinal Time Series Forecasting: </w:t>
      </w:r>
      <w:r>
        <w:rPr>
          <w:rFonts w:ascii="Arial" w:hAnsi="Arial"/>
          <w:color w:val="222222"/>
          <w:sz w:val="21"/>
        </w:rPr>
        <w:t>Isolate a student with full multi-semester history (Student #2) to forecast future final exam scores using Exponential Smoothing and ARIMA models under chronological train/test splits.</w:t>
      </w:r>
    </w:p>
    <w:p>
      <w:pPr>
        <w:spacing w:after="120" w:line="276" w:lineRule="auto"/>
      </w:pPr>
      <w:r>
        <w:rPr>
          <w:rFonts w:ascii="Arial" w:hAnsi="Arial"/>
          <w:b/>
          <w:color w:val="222222"/>
          <w:sz w:val="21"/>
        </w:rPr>
        <w:t xml:space="preserve">7. Ensemble Synthesis &amp; Comparative Architecture: </w:t>
      </w:r>
      <w:r>
        <w:rPr>
          <w:rFonts w:ascii="Arial" w:hAnsi="Arial"/>
          <w:color w:val="222222"/>
          <w:sz w:val="21"/>
        </w:rPr>
        <w:t>Critically analyze variance reduction and predictive gains achieved by ensemble models (Bagging, Boosting, Voting) over individual base learners.</w:t>
      </w:r>
    </w:p>
    <w:p>
      <w:pPr>
        <w:spacing w:after="120" w:line="276" w:lineRule="auto"/>
      </w:pPr>
      <w:r>
        <w:rPr>
          <w:rFonts w:ascii="Arial" w:hAnsi="Arial"/>
          <w:b/>
          <w:color w:val="222222"/>
          <w:sz w:val="21"/>
        </w:rPr>
        <w:t xml:space="preserve">8. Hyperparameter Optimization &amp; Model Explainability: </w:t>
      </w:r>
      <w:r>
        <w:rPr>
          <w:rFonts w:ascii="Arial" w:hAnsi="Arial"/>
          <w:color w:val="222222"/>
          <w:sz w:val="21"/>
        </w:rPr>
        <w:t>Systematically optimize gradient boosted trees using GridSearchCV and extract global feature importances to interpret academic drivers.</w:t>
      </w:r>
    </w:p>
    <w:p>
      <w:pPr>
        <w:keepNext/>
        <w:spacing w:before="280" w:after="80"/>
      </w:pPr>
      <w:r>
        <w:rPr>
          <w:rFonts w:ascii="Arial" w:hAnsi="Arial"/>
          <w:b/>
          <w:color w:val="4A607A"/>
          <w:sz w:val="26"/>
        </w:rPr>
        <w:t>b.2 End-to-End System Architecture</w:t>
      </w:r>
    </w:p>
    <w:p>
      <w:pPr>
        <w:spacing w:after="120" w:line="276" w:lineRule="auto"/>
      </w:pPr>
      <w:r>
        <w:rPr>
          <w:rFonts w:ascii="Arial" w:hAnsi="Arial"/>
          <w:color w:val="222222"/>
          <w:sz w:val="21"/>
        </w:rPr>
        <w:t>The pipeline operates across five interconnected modules: (i) Ingestion and Anomaly Cleansing, (ii) Temporal Sequence Assembly &amp; Feature Construction, (iii) Predictive Modeling Engine (incorporating Regression, Cost-Sensitive Multi-Class Classification, and Time Series Forecasting), (iv) Hyperparameter Grid Optimization, and (v) Model Interpretability &amp; Governance. Figure 1 illustrates data distributions following initial cleansing.</w:t>
      </w:r>
    </w:p>
    <w:p>
      <w:pPr>
        <w:keepNext/>
        <w:spacing w:before="360" w:after="120"/>
      </w:pPr>
      <w:r>
        <w:rPr>
          <w:rFonts w:ascii="Arial" w:hAnsi="Arial"/>
          <w:b/>
          <w:color w:val="003366"/>
          <w:sz w:val="32"/>
        </w:rPr>
        <w:t>Section c: Dataset Description, Data Quality Assessment &amp; Feature Engineering</w:t>
      </w:r>
    </w:p>
    <w:p>
      <w:pPr>
        <w:keepNext/>
        <w:spacing w:before="280" w:after="80"/>
      </w:pPr>
      <w:r>
        <w:rPr>
          <w:rFonts w:ascii="Arial" w:hAnsi="Arial"/>
          <w:b/>
          <w:color w:val="4A607A"/>
          <w:sz w:val="26"/>
        </w:rPr>
        <w:t>c.1 Dataset Attributes &amp; Variable Typology</w:t>
      </w:r>
    </w:p>
    <w:p>
      <w:pPr>
        <w:spacing w:after="120" w:line="276" w:lineRule="auto"/>
      </w:pPr>
      <w:r>
        <w:rPr>
          <w:rFonts w:ascii="Arial" w:hAnsi="Arial"/>
          <w:color w:val="222222"/>
          <w:sz w:val="21"/>
        </w:rPr>
        <w:t>The institutional dataset comprises 154,314 student-course enrollment records across 20 attributes, capturing student demographics, course parameters, study behaviors, and outcome metrics:</w:t>
      </w:r>
    </w:p>
    <w:p>
      <w:pPr>
        <w:spacing w:after="120" w:line="276" w:lineRule="auto"/>
      </w:pPr>
      <w:r>
        <w:rPr>
          <w:rFonts w:ascii="Arial" w:hAnsi="Arial"/>
          <w:color w:val="222222"/>
          <w:sz w:val="21"/>
        </w:rPr>
        <w:t>• Categorical Variables: semester (8 levels), course_code (CS101–CS236), course_name, subject_area (9 disciplines), instructor (15 faculty members), grade_letter (target), gender (M, F, Other), year_of_study (Freshman, Sophomore, Junior, Senior).</w:t>
      </w:r>
    </w:p>
    <w:p>
      <w:pPr>
        <w:spacing w:after="120" w:line="276" w:lineRule="auto"/>
      </w:pPr>
      <w:r>
        <w:rPr>
          <w:rFonts w:ascii="Arial" w:hAnsi="Arial"/>
          <w:color w:val="222222"/>
          <w:sz w:val="21"/>
        </w:rPr>
        <w:t>• Numerical Variables: credits (3, 4), numeric_grade (0–100), prior_gpa (0.0–4.0), study_hours (weekly), attendance_rate (0–100%), age (18–65), homework_avg (0–100), final_exam (0–100).</w:t>
      </w:r>
    </w:p>
    <w:p>
      <w:pPr>
        <w:spacing w:after="120" w:line="276" w:lineRule="auto"/>
      </w:pPr>
      <w:r>
        <w:rPr>
          <w:rFonts w:ascii="Arial" w:hAnsi="Arial"/>
          <w:color w:val="222222"/>
          <w:sz w:val="21"/>
        </w:rPr>
        <w:t>• Binary Variables: scholarship (0/1), extracurricular (count 0–10), internship (0/1).</w:t>
      </w:r>
    </w:p>
    <w:p>
      <w:pPr>
        <w:keepNext/>
        <w:spacing w:before="280" w:after="80"/>
      </w:pPr>
      <w:r>
        <w:rPr>
          <w:rFonts w:ascii="Arial" w:hAnsi="Arial"/>
          <w:b/>
          <w:color w:val="4A607A"/>
          <w:sz w:val="26"/>
        </w:rPr>
        <w:t>c.2 Anomaly Detection &amp; Data Cleansing Protocols</w:t>
      </w:r>
    </w:p>
    <w:p>
      <w:pPr>
        <w:spacing w:after="120" w:line="276" w:lineRule="auto"/>
      </w:pPr>
      <w:r>
        <w:rPr>
          <w:rFonts w:ascii="Arial" w:hAnsi="Arial"/>
          <w:color w:val="222222"/>
          <w:sz w:val="21"/>
        </w:rPr>
        <w:t>Thorough exploratory diagnostics uncovered three distinct classes of data anomalies intentionally embedded within the raw records to test preprocessing robustness:</w:t>
      </w:r>
    </w:p>
    <w:p>
      <w:pPr>
        <w:spacing w:after="120" w:line="276" w:lineRule="auto"/>
      </w:pPr>
      <w:r>
        <w:rPr>
          <w:rFonts w:ascii="Arial" w:hAnsi="Arial"/>
          <w:color w:val="222222"/>
          <w:sz w:val="21"/>
        </w:rPr>
        <w:t>1. Corrupted Synthetic Records (ERR): Exactly 780 records contained grade_letter == 'ERR'. Cross-tabulation revealed that every single 'ERR' entry corresponded perfectly to impossible numeric_grade values ranging from -10.0 to -0.01 (287 rows) and 100.01 to 110.0 (493 rows). Because these records represent corrupted noise where ground truth cannot be verified, they were safely pruned, reducing the working sample to 153,534 valid records.</w:t>
      </w:r>
    </w:p>
    <w:p>
      <w:pPr>
        <w:spacing w:after="120" w:line="276" w:lineRule="auto"/>
      </w:pPr>
      <w:r>
        <w:rPr>
          <w:rFonts w:ascii="Arial" w:hAnsi="Arial"/>
          <w:color w:val="222222"/>
          <w:sz w:val="21"/>
        </w:rPr>
        <w:t>2. Out-of-Bounds Prior GPA: The valid institutional GPA scale is strictly [0.0, 4.0]. Diagnostics identified 762 records containing sentinel error values of -1.0 (371 cases) and 5.0 (391 cases). These impossible sensor values were winsorized to the legitimate boundary thresholds [0.0, 4.0].</w:t>
      </w:r>
    </w:p>
    <w:p>
      <w:pPr>
        <w:spacing w:after="120" w:line="276" w:lineRule="auto"/>
      </w:pPr>
      <w:r>
        <w:rPr>
          <w:rFonts w:ascii="Arial" w:hAnsi="Arial"/>
          <w:color w:val="222222"/>
          <w:sz w:val="21"/>
        </w:rPr>
        <w:t>3. Extreme Weekly Study Hours: While legitimate academic study hours rarely exceed 50 hours per week for full-time students, 1,419 records showed extreme values between 60.0 and 119.9 hours. To preserve model robustness against extreme leverage points, study_hours was capped at 60.0 hours/week.</w:t>
      </w:r>
    </w:p>
    <w:p>
      <w:pPr>
        <w:spacing w:after="120" w:line="276" w:lineRule="auto"/>
      </w:pPr>
      <w:r>
        <w:rPr>
          <w:rFonts w:ascii="Arial" w:hAnsi="Arial"/>
          <w:color w:val="222222"/>
          <w:sz w:val="21"/>
        </w:rPr>
        <w:t>4. Leakage-Free Missing Value Imputation: Approximately 7% of records contained null values across study_hours (10,963), attendance_rate (10,815), homework_avg (10,687), and final_exam (10,752). Rather than using global means that distort disciplinary standards, missing entries were imputed using course-specific medians (e.g., median homework in CS102 vs. CS212), preserving localized academic context.</w:t>
      </w:r>
    </w:p>
    <w:p>
      <w:pPr>
        <w:spacing w:before="160" w:after="80"/>
        <w:jc w:val="center"/>
      </w:pPr>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fig1_data_cleaning.png"/>
                    <pic:cNvPicPr/>
                  </pic:nvPicPr>
                  <pic:blipFill>
                    <a:blip r:embed="rId9"/>
                    <a:stretch>
                      <a:fillRect/>
                    </a:stretch>
                  </pic:blipFill>
                  <pic:spPr>
                    <a:xfrm>
                      <a:off x="0" y="0"/>
                      <a:ext cx="5486400" cy="1959429"/>
                    </a:xfrm>
                    <a:prstGeom prst="rect"/>
                  </pic:spPr>
                </pic:pic>
              </a:graphicData>
            </a:graphic>
          </wp:inline>
        </w:drawing>
      </w:r>
    </w:p>
    <w:p>
      <w:pPr>
        <w:spacing w:after="240"/>
        <w:jc w:val="center"/>
      </w:pPr>
      <w:r>
        <w:rPr>
          <w:rFonts w:ascii="Arial" w:hAnsi="Arial"/>
          <w:b/>
          <w:color w:val="646E78"/>
          <w:sz w:val="19"/>
        </w:rPr>
        <w:t>Figure 1: Cleaned Grade Letter Distribution and Study Hours vs. Numeric Grade (Sampled n=5,000)</w:t>
      </w:r>
    </w:p>
    <w:p>
      <w:pPr>
        <w:keepNext/>
        <w:spacing w:before="280" w:after="80"/>
      </w:pPr>
      <w:r>
        <w:rPr>
          <w:rFonts w:ascii="Arial" w:hAnsi="Arial"/>
          <w:b/>
          <w:color w:val="4A607A"/>
          <w:sz w:val="26"/>
        </w:rPr>
        <w:t>c.3 Temporal Preprocessing &amp; Feature Engineering</w:t>
      </w:r>
    </w:p>
    <w:p>
      <w:pPr>
        <w:spacing w:after="120" w:line="276" w:lineRule="auto"/>
      </w:pPr>
      <w:r>
        <w:rPr>
          <w:rFonts w:ascii="Arial" w:hAnsi="Arial"/>
          <w:color w:val="222222"/>
          <w:sz w:val="21"/>
        </w:rPr>
        <w:t>To capture academic momentum and temporal persistence, records were mapped to a chronological integer timeline: 2020Spring (1), 2020Fall (2), 2021Spring (3), 2021Fall (4), 2022Spring (5), 2022Fall (6), 2023Spring (7), and 2023Fall (8). Sorting records by student_id and sem_num enabled the construction of longitudinal features:</w:t>
      </w:r>
    </w:p>
    <w:p>
      <w:pPr>
        <w:spacing w:after="120" w:line="276" w:lineRule="auto"/>
      </w:pPr>
      <w:r>
        <w:rPr>
          <w:rFonts w:ascii="Arial" w:hAnsi="Arial"/>
          <w:color w:val="222222"/>
          <w:sz w:val="21"/>
        </w:rPr>
        <w:t>• final_exam_prev_semester: The student's average final exam score in semester t-1.</w:t>
      </w:r>
    </w:p>
    <w:p>
      <w:pPr>
        <w:spacing w:after="120" w:line="276" w:lineRule="auto"/>
      </w:pPr>
      <w:r>
        <w:rPr>
          <w:rFonts w:ascii="Arial" w:hAnsi="Arial"/>
          <w:color w:val="222222"/>
          <w:sz w:val="21"/>
        </w:rPr>
        <w:t>• homework_avg_prev_semester: The student's average homework performance in semester t-1.</w:t>
      </w:r>
    </w:p>
    <w:p>
      <w:pPr>
        <w:spacing w:after="120" w:line="276" w:lineRule="auto"/>
      </w:pPr>
      <w:r>
        <w:rPr>
          <w:rFonts w:ascii="Arial" w:hAnsi="Arial"/>
          <w:color w:val="222222"/>
          <w:sz w:val="21"/>
        </w:rPr>
        <w:t>• attendance_prev_semester: The student's attendance rate in semester t-1.</w:t>
      </w:r>
    </w:p>
    <w:p>
      <w:pPr>
        <w:spacing w:after="120" w:line="276" w:lineRule="auto"/>
      </w:pPr>
      <w:r>
        <w:rPr>
          <w:rFonts w:ascii="Arial" w:hAnsi="Arial"/>
          <w:color w:val="222222"/>
          <w:sz w:val="21"/>
        </w:rPr>
        <w:t>• study_hours_per_credit: Study hours normalized by course credit weight (study_hours / credits).</w:t>
      </w:r>
    </w:p>
    <w:p>
      <w:pPr>
        <w:spacing w:after="120" w:line="276" w:lineRule="auto"/>
      </w:pPr>
      <w:r>
        <w:rPr>
          <w:rFonts w:ascii="Arial" w:hAnsi="Arial"/>
          <w:color w:val="222222"/>
          <w:sz w:val="21"/>
        </w:rPr>
        <w:t>• attendance_hw_composite: A weighted engagement indicator combining attendance engagement and formative assessment (0.4 * attendance_rate + 0.6 * homework_avg).</w:t>
      </w:r>
    </w:p>
    <w:p>
      <w:pPr>
        <w:spacing w:before="160" w:after="80"/>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fig2_correlation_matrix.png"/>
                    <pic:cNvPicPr/>
                  </pic:nvPicPr>
                  <pic:blipFill>
                    <a:blip r:embed="rId10"/>
                    <a:stretch>
                      <a:fillRect/>
                    </a:stretch>
                  </pic:blipFill>
                  <pic:spPr>
                    <a:xfrm>
                      <a:off x="0" y="0"/>
                      <a:ext cx="5486400" cy="4389120"/>
                    </a:xfrm>
                    <a:prstGeom prst="rect"/>
                  </pic:spPr>
                </pic:pic>
              </a:graphicData>
            </a:graphic>
          </wp:inline>
        </w:drawing>
      </w:r>
    </w:p>
    <w:p>
      <w:pPr>
        <w:spacing w:after="240"/>
        <w:jc w:val="center"/>
      </w:pPr>
      <w:r>
        <w:rPr>
          <w:rFonts w:ascii="Arial" w:hAnsi="Arial"/>
          <w:b/>
          <w:color w:val="646E78"/>
          <w:sz w:val="19"/>
        </w:rPr>
        <w:t>Figure 2: Pearson Correlation Matrix of Engineered Academic Features and Outcomes</w:t>
      </w:r>
    </w:p>
    <w:p>
      <w:pPr>
        <w:keepNext/>
        <w:spacing w:before="280" w:after="80"/>
      </w:pPr>
      <w:r>
        <w:rPr>
          <w:rFonts w:ascii="Arial" w:hAnsi="Arial"/>
          <w:b/>
          <w:color w:val="4A607A"/>
          <w:sz w:val="26"/>
        </w:rPr>
        <w:t>c.4 Correlation &amp; Macro Cohort Analysis</w:t>
      </w:r>
    </w:p>
    <w:p>
      <w:pPr>
        <w:spacing w:after="120" w:line="276" w:lineRule="auto"/>
      </w:pPr>
      <w:r>
        <w:rPr>
          <w:rFonts w:ascii="Arial" w:hAnsi="Arial"/>
          <w:color w:val="222222"/>
          <w:sz w:val="21"/>
        </w:rPr>
        <w:t>Correlation analysis (Figure 2) reveals that homework_avg exhibits the strongest linear correlation with final_exam (r = 0.58), followed by prior semester exam performance (r = 0.44) and attendance rate (r = 0.38). In contrast, extracurricular activities and age display negligible linear relationships with examination outcomes (|r| &lt; 0.05). Macro-level cohort trends across semesters (Figure 3) demonstrate seasonal stability across the university population, maintaining mean final exam averages between 78.4 and 79.8 points across the 2020–2023 observation window.</w:t>
      </w:r>
    </w:p>
    <w:p>
      <w:pPr>
        <w:spacing w:before="160" w:after="8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3_cohort_trend.png"/>
                    <pic:cNvPicPr/>
                  </pic:nvPicPr>
                  <pic:blipFill>
                    <a:blip r:embed="rId11"/>
                    <a:stretch>
                      <a:fillRect/>
                    </a:stretch>
                  </pic:blipFill>
                  <pic:spPr>
                    <a:xfrm>
                      <a:off x="0" y="0"/>
                      <a:ext cx="5486400" cy="2743200"/>
                    </a:xfrm>
                    <a:prstGeom prst="rect"/>
                  </pic:spPr>
                </pic:pic>
              </a:graphicData>
            </a:graphic>
          </wp:inline>
        </w:drawing>
      </w:r>
    </w:p>
    <w:p>
      <w:pPr>
        <w:spacing w:after="240"/>
        <w:jc w:val="center"/>
      </w:pPr>
      <w:r>
        <w:rPr>
          <w:rFonts w:ascii="Arial" w:hAnsi="Arial"/>
          <w:b/>
          <w:color w:val="646E78"/>
          <w:sz w:val="19"/>
        </w:rPr>
        <w:t>Figure 3: Cohort Academic Indicators (Final Exam, Homework Avg, Attendance) Across 8 Semesters</w:t>
      </w:r>
    </w:p>
    <w:p>
      <w:pPr>
        <w:keepNext/>
        <w:spacing w:before="360" w:after="120"/>
      </w:pPr>
      <w:r>
        <w:rPr>
          <w:rFonts w:ascii="Arial" w:hAnsi="Arial"/>
          <w:b/>
          <w:color w:val="003366"/>
          <w:sz w:val="32"/>
        </w:rPr>
        <w:t>Section d: Machine Learning Methodology &amp; Technical Rationale</w:t>
      </w:r>
    </w:p>
    <w:p>
      <w:pPr>
        <w:keepNext/>
        <w:spacing w:before="280" w:after="80"/>
      </w:pPr>
      <w:r>
        <w:rPr>
          <w:rFonts w:ascii="Arial" w:hAnsi="Arial"/>
          <w:b/>
          <w:color w:val="4A607A"/>
          <w:sz w:val="26"/>
        </w:rPr>
        <w:t>d.1 Strict Prevention of Data Leakage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after="0" w:line="276" w:lineRule="auto"/>
            </w:pPr>
            <w:r>
              <w:rPr>
                <w:rFonts w:ascii="Arial" w:hAnsi="Arial"/>
                <w:b/>
                <w:color w:val="003366"/>
                <w:sz w:val="21"/>
              </w:rPr>
              <w:t xml:space="preserve">Data Leakage Avoidance Declaration: </w:t>
            </w:r>
            <w:r>
              <w:rPr>
                <w:rFonts w:ascii="Arial" w:hAnsi="Arial"/>
                <w:i/>
                <w:color w:val="222222"/>
                <w:sz w:val="20"/>
              </w:rPr>
              <w:t>CRITICAL METHODOLOGICAL SAFEGUARD: In educational predictive analytics, numeric_grade is an algebraic combination of homework_avg and final_exam (e.g., Numeric Grade = 0.4 * Homework + 0.6 * Final Exam). Furthermore, letter grades are mapped directly from numeric_grade via administrative grading bands. Including numeric_grade in feature matrices to predict grade_letter or final_exam would introduce fatal circular data leakage. In strict compliance with the project guidelines, numeric_grade was completely excluded from all feature sets.</w:t>
            </w:r>
          </w:p>
        </w:tc>
      </w:tr>
    </w:tbl>
    <w:p>
      <w:pPr>
        <w:spacing w:after="80"/>
      </w:pPr>
    </w:p>
    <w:p>
      <w:pPr>
        <w:keepNext/>
        <w:spacing w:before="280" w:after="80"/>
      </w:pPr>
      <w:r>
        <w:rPr>
          <w:rFonts w:ascii="Arial" w:hAnsi="Arial"/>
          <w:b/>
          <w:color w:val="4A607A"/>
          <w:sz w:val="26"/>
        </w:rPr>
        <w:t>d.2 Regression Modeling Formulations</w:t>
      </w:r>
    </w:p>
    <w:p>
      <w:pPr>
        <w:spacing w:after="120" w:line="276" w:lineRule="auto"/>
      </w:pPr>
      <w:r>
        <w:rPr>
          <w:rFonts w:ascii="Arial" w:hAnsi="Arial"/>
          <w:color w:val="222222"/>
          <w:sz w:val="21"/>
        </w:rPr>
        <w:t>Predicting continuous final_exam scores was formulated as a supervised regression task y in [0, 100]. Five diverse algorithmic paradigms were implemented:</w:t>
      </w:r>
    </w:p>
    <w:p>
      <w:pPr>
        <w:spacing w:after="120" w:line="276" w:lineRule="auto"/>
      </w:pPr>
      <w:r>
        <w:rPr>
          <w:rFonts w:ascii="Arial" w:hAnsi="Arial"/>
          <w:color w:val="222222"/>
          <w:sz w:val="21"/>
        </w:rPr>
        <w:t>1. Regularized Ridge Regression: Adds an L2 penalty to ordinary least squares to prevent multicollinearity among correlated academic metrics:</w:t>
        <w:br/>
        <w:t xml:space="preserve">   min_w ||Xw - y||_2^2 + alpha * ||w||_2^2</w:t>
      </w:r>
    </w:p>
    <w:p>
      <w:pPr>
        <w:spacing w:after="120" w:line="276" w:lineRule="auto"/>
      </w:pPr>
      <w:r>
        <w:rPr>
          <w:rFonts w:ascii="Arial" w:hAnsi="Arial"/>
          <w:color w:val="222222"/>
          <w:sz w:val="21"/>
        </w:rPr>
        <w:t>2. CART Decision Tree Regressor: Recursively partitions the feature space into hyper-rectangles by minimizing mean squared error split impurity:</w:t>
        <w:br/>
        <w:t xml:space="preserve">   MSE_split = sum_{i in L} (y_i - y_bar_L)^2 + sum_{i in R} (y_i - y_bar_R)^2</w:t>
      </w:r>
    </w:p>
    <w:p>
      <w:pPr>
        <w:spacing w:after="120" w:line="276" w:lineRule="auto"/>
      </w:pPr>
      <w:r>
        <w:rPr>
          <w:rFonts w:ascii="Arial" w:hAnsi="Arial"/>
          <w:color w:val="222222"/>
          <w:sz w:val="21"/>
        </w:rPr>
        <w:t>3. Random Forest Regressor: An ensemble bagging technique constructing B = 100 de-correlated trees trained on bootstrap samples with random feature subsampling, reducing predictive variance:</w:t>
        <w:br/>
        <w:t xml:space="preserve">   y_hat_RF = (1 / B) * sum_{b=1}^B T_b(x)</w:t>
      </w:r>
    </w:p>
    <w:p>
      <w:pPr>
        <w:spacing w:after="120" w:line="276" w:lineRule="auto"/>
      </w:pPr>
      <w:r>
        <w:rPr>
          <w:rFonts w:ascii="Arial" w:hAnsi="Arial"/>
          <w:color w:val="222222"/>
          <w:sz w:val="21"/>
        </w:rPr>
        <w:t>4. Gradient Boosted Trees (LightGBM &amp; XGBoost): Sequentially construct additive regression trees fitting negative gradients (pseudo-residuals) of the loss function, incorporating second-order Taylor approximations and histogram-based binning for optimal computational efficiency:</w:t>
        <w:br/>
        <w:t xml:space="preserve">   L_t = sum_{i=1}^N [g_i f_t(x_i) + 0.5 * h_i f_t^2(x_i)] + Omega(f_t)</w:t>
      </w:r>
    </w:p>
    <w:p>
      <w:pPr>
        <w:spacing w:after="120" w:line="276" w:lineRule="auto"/>
      </w:pPr>
      <w:r>
        <w:rPr>
          <w:rFonts w:ascii="Arial" w:hAnsi="Arial"/>
          <w:color w:val="222222"/>
          <w:sz w:val="21"/>
        </w:rPr>
        <w:t>5. Weighted Voting Regressor Ensemble: Combines predictions from Random Forest, LightGBM, and XGBoost with weights [1, 2, 2], leveraging complementary strengths of bagging and boosting.</w:t>
      </w:r>
    </w:p>
    <w:p>
      <w:pPr>
        <w:keepNext/>
        <w:spacing w:before="280" w:after="80"/>
      </w:pPr>
      <w:r>
        <w:rPr>
          <w:rFonts w:ascii="Arial" w:hAnsi="Arial"/>
          <w:b/>
          <w:color w:val="4A607A"/>
          <w:sz w:val="26"/>
        </w:rPr>
        <w:t>d.3 Multi-Class Classification &amp; Severe Imbalance Mitigation</w:t>
      </w:r>
    </w:p>
    <w:p>
      <w:pPr>
        <w:spacing w:after="120" w:line="276" w:lineRule="auto"/>
      </w:pPr>
      <w:r>
        <w:rPr>
          <w:rFonts w:ascii="Arial" w:hAnsi="Arial"/>
          <w:color w:val="222222"/>
          <w:sz w:val="21"/>
        </w:rPr>
        <w:t>Letter grade prediction involves 10 mutually exclusive classes: {A, A-, B+, B, B-, C+, C, C-, D, F}. A major operational challenge is severe class imbalance: failing grades ('F') account for only 544 out of 153,534 records (0.354%), while common grades ('B', 'B-', 'C+') each comprise over 13%–18% of records. Standard unweighted classifiers maximize overall accuracy by completely ignoring the minority 'F' class, rendering the model useless for early failure intervention.</w:t>
      </w:r>
    </w:p>
    <w:p>
      <w:pPr>
        <w:spacing w:after="120" w:line="276" w:lineRule="auto"/>
      </w:pPr>
      <w:r>
        <w:rPr>
          <w:rFonts w:ascii="Arial" w:hAnsi="Arial"/>
          <w:color w:val="222222"/>
          <w:sz w:val="21"/>
        </w:rPr>
        <w:t>To counter this, cost-sensitive learning was enforced across all classification models by applying balanced class weighting:</w:t>
        <w:br/>
        <w:t xml:space="preserve">   w_j = N / (K * n_j)</w:t>
        <w:br/>
        <w:t>where N is total samples, K is the number of classes (10), and n_j is the frequency of class j. Consequently, errors on the minority 'F' class receive ~28x higher penalty during loss computation, forcing the optimization algorithm to achieve high sensitivity on struggling students.</w:t>
      </w:r>
    </w:p>
    <w:p>
      <w:pPr>
        <w:keepNext/>
        <w:spacing w:before="280" w:after="80"/>
      </w:pPr>
      <w:r>
        <w:rPr>
          <w:rFonts w:ascii="Arial" w:hAnsi="Arial"/>
          <w:b/>
          <w:color w:val="4A607A"/>
          <w:sz w:val="26"/>
        </w:rPr>
        <w:t>d.4 Longitudinal Time Series Modeling for Individual Students</w:t>
      </w:r>
    </w:p>
    <w:p>
      <w:pPr>
        <w:spacing w:after="120" w:line="276" w:lineRule="auto"/>
      </w:pPr>
      <w:r>
        <w:rPr>
          <w:rFonts w:ascii="Arial" w:hAnsi="Arial"/>
          <w:color w:val="222222"/>
          <w:sz w:val="21"/>
        </w:rPr>
        <w:t>To evaluate individual student trajectory forecasting, Student #2 was selected due to an uninterrupted 8-semester sequence from 2020Spring to 2023Fall. Semester-aggregated final exam scores y_t for t = 1, ..., 8 were modeled. In accordance with time series principles, the sequence was split chronologically: training on semesters 1 to 6 and testing on semesters 7 and 8.</w:t>
      </w:r>
    </w:p>
    <w:p>
      <w:pPr>
        <w:spacing w:after="120" w:line="276" w:lineRule="auto"/>
      </w:pPr>
      <w:r>
        <w:rPr>
          <w:rFonts w:ascii="Arial" w:hAnsi="Arial"/>
          <w:color w:val="222222"/>
          <w:sz w:val="21"/>
        </w:rPr>
        <w:t>• Simple Exponential Smoothing (SES): Models level updates via smoothing coefficient alpha in (0, 1):</w:t>
        <w:br/>
        <w:t xml:space="preserve">   l_t = alpha * y_t + (1 - alpha) * l_{t-1},   y_hat_{t+h|t} = l_t</w:t>
      </w:r>
    </w:p>
    <w:p>
      <w:pPr>
        <w:spacing w:after="120" w:line="276" w:lineRule="auto"/>
      </w:pPr>
      <w:r>
        <w:rPr>
          <w:rFonts w:ascii="Arial" w:hAnsi="Arial"/>
          <w:color w:val="222222"/>
          <w:sz w:val="21"/>
        </w:rPr>
        <w:t>• AutoRegressive Integrated Moving Average (ARIMA(1,0,0)): Captures mean-reverting autoregressive momentum:</w:t>
        <w:br/>
        <w:t xml:space="preserve">   (1 - phi_1 * B) (y_t - mu) = epsilon_t,   epsilon_t ~ N(0, sigma^2)</w:t>
      </w:r>
    </w:p>
    <w:p>
      <w:pPr>
        <w:spacing w:after="120" w:line="276" w:lineRule="auto"/>
      </w:pPr>
      <w:r>
        <w:rPr>
          <w:rFonts w:ascii="Arial" w:hAnsi="Arial"/>
          <w:color w:val="222222"/>
          <w:sz w:val="21"/>
        </w:rPr>
        <w:t>• Persistence Baseline (Naive Lag-1): Sets future forecasts equal to the most recent observed semester value (y_hat_{T+h} = y_T), providing an empirical benchmark for time series utility.</w:t>
      </w:r>
    </w:p>
    <w:p>
      <w:pPr>
        <w:keepNext/>
        <w:spacing w:before="360" w:after="120"/>
      </w:pPr>
      <w:r>
        <w:rPr>
          <w:rFonts w:ascii="Arial" w:hAnsi="Arial"/>
          <w:b/>
          <w:color w:val="003366"/>
          <w:sz w:val="32"/>
        </w:rPr>
        <w:t>Section e: Model Evaluation, Results &amp; Comparative Benchmarks</w:t>
      </w:r>
    </w:p>
    <w:p>
      <w:pPr>
        <w:keepNext/>
        <w:spacing w:before="280" w:after="80"/>
      </w:pPr>
      <w:r>
        <w:rPr>
          <w:rFonts w:ascii="Arial" w:hAnsi="Arial"/>
          <w:b/>
          <w:color w:val="4A607A"/>
          <w:sz w:val="26"/>
        </w:rPr>
        <w:t>e.1 Regression Model Evaluation (Final Exam Prediction)</w:t>
      </w:r>
    </w:p>
    <w:p>
      <w:pPr>
        <w:spacing w:after="120" w:line="276" w:lineRule="auto"/>
      </w:pPr>
      <w:r>
        <w:rPr>
          <w:rFonts w:ascii="Arial" w:hAnsi="Arial"/>
          <w:color w:val="222222"/>
          <w:sz w:val="21"/>
        </w:rPr>
        <w:t>Table 1 and Figure 4 summarize performance across the test set (30,707 unseen records). Regularized Ridge, LightGBM, and the Voting Ensemble demonstrated near-identical superior performance, achieving test RMSEs of 7.8850 to 7.8965 and MAE values of 6.32 to 6.33 score points (MAPE ~ 8.0%).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80" w:type="dxa"/>
              <w:bottom w:w="80" w:type="dxa"/>
              <w:left w:w="100" w:type="dxa"/>
              <w:right w:w="100" w:type="dxa"/>
            </w:tcMar>
          </w:tcPr>
          <w:p>
            <w:pPr>
              <w:spacing w:after="0"/>
            </w:pPr>
            <w:r>
              <w:rPr>
                <w:rFonts w:ascii="Arial" w:hAnsi="Arial"/>
                <w:b/>
                <w:color w:val="FFFFFF"/>
                <w:sz w:val="18"/>
              </w:rPr>
              <w:t>Regression Model Architecture</w:t>
            </w:r>
          </w:p>
        </w:tc>
        <w:tc>
          <w:tcPr>
            <w:tcW w:type="dxa" w:w="1872"/>
            <w:shd w:fill="003366"/>
            <w:tcMar>
              <w:top w:w="80" w:type="dxa"/>
              <w:bottom w:w="80" w:type="dxa"/>
              <w:left w:w="100" w:type="dxa"/>
              <w:right w:w="100" w:type="dxa"/>
            </w:tcMar>
          </w:tcPr>
          <w:p>
            <w:pPr>
              <w:spacing w:after="0"/>
            </w:pPr>
            <w:r>
              <w:rPr>
                <w:rFonts w:ascii="Arial" w:hAnsi="Arial"/>
                <w:b/>
                <w:color w:val="FFFFFF"/>
                <w:sz w:val="18"/>
              </w:rPr>
              <w:t>RMSE (Points)</w:t>
            </w:r>
          </w:p>
        </w:tc>
        <w:tc>
          <w:tcPr>
            <w:tcW w:type="dxa" w:w="1872"/>
            <w:shd w:fill="003366"/>
            <w:tcMar>
              <w:top w:w="80" w:type="dxa"/>
              <w:bottom w:w="80" w:type="dxa"/>
              <w:left w:w="100" w:type="dxa"/>
              <w:right w:w="100" w:type="dxa"/>
            </w:tcMar>
          </w:tcPr>
          <w:p>
            <w:pPr>
              <w:spacing w:after="0"/>
            </w:pPr>
            <w:r>
              <w:rPr>
                <w:rFonts w:ascii="Arial" w:hAnsi="Arial"/>
                <w:b/>
                <w:color w:val="FFFFFF"/>
                <w:sz w:val="18"/>
              </w:rPr>
              <w:t>MAE (Points)</w:t>
            </w:r>
          </w:p>
        </w:tc>
        <w:tc>
          <w:tcPr>
            <w:tcW w:type="dxa" w:w="1872"/>
            <w:shd w:fill="003366"/>
            <w:tcMar>
              <w:top w:w="80" w:type="dxa"/>
              <w:bottom w:w="80" w:type="dxa"/>
              <w:left w:w="100" w:type="dxa"/>
              <w:right w:w="100" w:type="dxa"/>
            </w:tcMar>
          </w:tcPr>
          <w:p>
            <w:pPr>
              <w:spacing w:after="0"/>
            </w:pPr>
            <w:r>
              <w:rPr>
                <w:rFonts w:ascii="Arial" w:hAnsi="Arial"/>
                <w:b/>
                <w:color w:val="FFFFFF"/>
                <w:sz w:val="18"/>
              </w:rPr>
              <w:t>R² Score</w:t>
            </w:r>
          </w:p>
        </w:tc>
        <w:tc>
          <w:tcPr>
            <w:tcW w:type="dxa" w:w="1872"/>
            <w:shd w:fill="003366"/>
            <w:tcMar>
              <w:top w:w="80" w:type="dxa"/>
              <w:bottom w:w="80" w:type="dxa"/>
              <w:left w:w="100" w:type="dxa"/>
              <w:right w:w="100" w:type="dxa"/>
            </w:tcMar>
          </w:tcPr>
          <w:p>
            <w:pPr>
              <w:spacing w:after="0"/>
            </w:pPr>
            <w:r>
              <w:rPr>
                <w:rFonts w:ascii="Arial" w:hAnsi="Arial"/>
                <w:b/>
                <w:color w:val="FFFFFF"/>
                <w:sz w:val="18"/>
              </w:rPr>
              <w:t>MAPE (%)</w:t>
            </w:r>
          </w:p>
        </w:tc>
      </w:tr>
      <w:tr>
        <w:tc>
          <w:tcPr>
            <w:tcW w:type="dxa" w:w="1872"/>
            <w:shd w:fill="FFFFFF"/>
            <w:tcMar>
              <w:top w:w="70" w:type="dxa"/>
              <w:bottom w:w="70" w:type="dxa"/>
              <w:left w:w="100" w:type="dxa"/>
              <w:right w:w="100" w:type="dxa"/>
            </w:tcMar>
          </w:tcPr>
          <w:p>
            <w:pPr>
              <w:spacing w:after="0"/>
            </w:pPr>
            <w:r>
              <w:rPr>
                <w:rFonts w:ascii="Arial" w:hAnsi="Arial"/>
                <w:b/>
                <w:color w:val="222222"/>
                <w:sz w:val="17"/>
              </w:rPr>
              <w:t>Ridge Regression (alpha=1.0)</w:t>
            </w:r>
          </w:p>
        </w:tc>
        <w:tc>
          <w:tcPr>
            <w:tcW w:type="dxa" w:w="1872"/>
            <w:shd w:fill="FFFFFF"/>
            <w:tcMar>
              <w:top w:w="70" w:type="dxa"/>
              <w:bottom w:w="70" w:type="dxa"/>
              <w:left w:w="100" w:type="dxa"/>
              <w:right w:w="100" w:type="dxa"/>
            </w:tcMar>
          </w:tcPr>
          <w:p>
            <w:pPr>
              <w:spacing w:after="0"/>
            </w:pPr>
            <w:r>
              <w:rPr>
                <w:rFonts w:ascii="Arial" w:hAnsi="Arial"/>
                <w:color w:val="222222"/>
                <w:sz w:val="17"/>
              </w:rPr>
              <w:t>7.8850</w:t>
            </w:r>
          </w:p>
        </w:tc>
        <w:tc>
          <w:tcPr>
            <w:tcW w:type="dxa" w:w="1872"/>
            <w:shd w:fill="FFFFFF"/>
            <w:tcMar>
              <w:top w:w="70" w:type="dxa"/>
              <w:bottom w:w="70" w:type="dxa"/>
              <w:left w:w="100" w:type="dxa"/>
              <w:right w:w="100" w:type="dxa"/>
            </w:tcMar>
          </w:tcPr>
          <w:p>
            <w:pPr>
              <w:spacing w:after="0"/>
            </w:pPr>
            <w:r>
              <w:rPr>
                <w:rFonts w:ascii="Arial" w:hAnsi="Arial"/>
                <w:color w:val="222222"/>
                <w:sz w:val="17"/>
              </w:rPr>
              <w:t>6.3231</w:t>
            </w:r>
          </w:p>
        </w:tc>
        <w:tc>
          <w:tcPr>
            <w:tcW w:type="dxa" w:w="1872"/>
            <w:shd w:fill="FFFFFF"/>
            <w:tcMar>
              <w:top w:w="70" w:type="dxa"/>
              <w:bottom w:w="70" w:type="dxa"/>
              <w:left w:w="100" w:type="dxa"/>
              <w:right w:w="100" w:type="dxa"/>
            </w:tcMar>
          </w:tcPr>
          <w:p>
            <w:pPr>
              <w:spacing w:after="0"/>
            </w:pPr>
            <w:r>
              <w:rPr>
                <w:rFonts w:ascii="Arial" w:hAnsi="Arial"/>
                <w:color w:val="222222"/>
                <w:sz w:val="17"/>
              </w:rPr>
              <w:t>0.3639</w:t>
            </w:r>
          </w:p>
        </w:tc>
        <w:tc>
          <w:tcPr>
            <w:tcW w:type="dxa" w:w="1872"/>
            <w:shd w:fill="FFFFFF"/>
            <w:tcMar>
              <w:top w:w="70" w:type="dxa"/>
              <w:bottom w:w="70" w:type="dxa"/>
              <w:left w:w="100" w:type="dxa"/>
              <w:right w:w="100" w:type="dxa"/>
            </w:tcMar>
          </w:tcPr>
          <w:p>
            <w:pPr>
              <w:spacing w:after="0"/>
            </w:pPr>
            <w:r>
              <w:rPr>
                <w:rFonts w:ascii="Arial" w:hAnsi="Arial"/>
                <w:color w:val="222222"/>
                <w:sz w:val="17"/>
              </w:rPr>
              <w:t>7.98%</w:t>
            </w:r>
          </w:p>
        </w:tc>
      </w:tr>
      <w:tr>
        <w:tc>
          <w:tcPr>
            <w:tcW w:type="dxa" w:w="1872"/>
            <w:shd w:fill="F9FAFC"/>
            <w:tcMar>
              <w:top w:w="70" w:type="dxa"/>
              <w:bottom w:w="70" w:type="dxa"/>
              <w:left w:w="100" w:type="dxa"/>
              <w:right w:w="100" w:type="dxa"/>
            </w:tcMar>
          </w:tcPr>
          <w:p>
            <w:pPr>
              <w:spacing w:after="0"/>
            </w:pPr>
            <w:r>
              <w:rPr>
                <w:rFonts w:ascii="Arial" w:hAnsi="Arial"/>
                <w:b/>
                <w:color w:val="222222"/>
                <w:sz w:val="17"/>
              </w:rPr>
              <w:t>Decision Tree Regressor (depth=8)</w:t>
            </w:r>
          </w:p>
        </w:tc>
        <w:tc>
          <w:tcPr>
            <w:tcW w:type="dxa" w:w="1872"/>
            <w:shd w:fill="F9FAFC"/>
            <w:tcMar>
              <w:top w:w="70" w:type="dxa"/>
              <w:bottom w:w="70" w:type="dxa"/>
              <w:left w:w="100" w:type="dxa"/>
              <w:right w:w="100" w:type="dxa"/>
            </w:tcMar>
          </w:tcPr>
          <w:p>
            <w:pPr>
              <w:spacing w:after="0"/>
            </w:pPr>
            <w:r>
              <w:rPr>
                <w:rFonts w:ascii="Arial" w:hAnsi="Arial"/>
                <w:color w:val="222222"/>
                <w:sz w:val="17"/>
              </w:rPr>
              <w:t>7.9393</w:t>
            </w:r>
          </w:p>
        </w:tc>
        <w:tc>
          <w:tcPr>
            <w:tcW w:type="dxa" w:w="1872"/>
            <w:shd w:fill="F9FAFC"/>
            <w:tcMar>
              <w:top w:w="70" w:type="dxa"/>
              <w:bottom w:w="70" w:type="dxa"/>
              <w:left w:w="100" w:type="dxa"/>
              <w:right w:w="100" w:type="dxa"/>
            </w:tcMar>
          </w:tcPr>
          <w:p>
            <w:pPr>
              <w:spacing w:after="0"/>
            </w:pPr>
            <w:r>
              <w:rPr>
                <w:rFonts w:ascii="Arial" w:hAnsi="Arial"/>
                <w:color w:val="222222"/>
                <w:sz w:val="17"/>
              </w:rPr>
              <w:t>6.3677</w:t>
            </w:r>
          </w:p>
        </w:tc>
        <w:tc>
          <w:tcPr>
            <w:tcW w:type="dxa" w:w="1872"/>
            <w:shd w:fill="F9FAFC"/>
            <w:tcMar>
              <w:top w:w="70" w:type="dxa"/>
              <w:bottom w:w="70" w:type="dxa"/>
              <w:left w:w="100" w:type="dxa"/>
              <w:right w:w="100" w:type="dxa"/>
            </w:tcMar>
          </w:tcPr>
          <w:p>
            <w:pPr>
              <w:spacing w:after="0"/>
            </w:pPr>
            <w:r>
              <w:rPr>
                <w:rFonts w:ascii="Arial" w:hAnsi="Arial"/>
                <w:color w:val="222222"/>
                <w:sz w:val="17"/>
              </w:rPr>
              <w:t>0.3552</w:t>
            </w:r>
          </w:p>
        </w:tc>
        <w:tc>
          <w:tcPr>
            <w:tcW w:type="dxa" w:w="1872"/>
            <w:shd w:fill="F9FAFC"/>
            <w:tcMar>
              <w:top w:w="70" w:type="dxa"/>
              <w:bottom w:w="70" w:type="dxa"/>
              <w:left w:w="100" w:type="dxa"/>
              <w:right w:w="100" w:type="dxa"/>
            </w:tcMar>
          </w:tcPr>
          <w:p>
            <w:pPr>
              <w:spacing w:after="0"/>
            </w:pPr>
            <w:r>
              <w:rPr>
                <w:rFonts w:ascii="Arial" w:hAnsi="Arial"/>
                <w:color w:val="222222"/>
                <w:sz w:val="17"/>
              </w:rPr>
              <w:t>8.04%</w:t>
            </w:r>
          </w:p>
        </w:tc>
      </w:tr>
      <w:tr>
        <w:tc>
          <w:tcPr>
            <w:tcW w:type="dxa" w:w="1872"/>
            <w:shd w:fill="FFFFFF"/>
            <w:tcMar>
              <w:top w:w="70" w:type="dxa"/>
              <w:bottom w:w="70" w:type="dxa"/>
              <w:left w:w="100" w:type="dxa"/>
              <w:right w:w="100" w:type="dxa"/>
            </w:tcMar>
          </w:tcPr>
          <w:p>
            <w:pPr>
              <w:spacing w:after="0"/>
            </w:pPr>
            <w:r>
              <w:rPr>
                <w:rFonts w:ascii="Arial" w:hAnsi="Arial"/>
                <w:b/>
                <w:color w:val="222222"/>
                <w:sz w:val="17"/>
              </w:rPr>
              <w:t>Random Forest Regressor (B=100)</w:t>
            </w:r>
          </w:p>
        </w:tc>
        <w:tc>
          <w:tcPr>
            <w:tcW w:type="dxa" w:w="1872"/>
            <w:shd w:fill="FFFFFF"/>
            <w:tcMar>
              <w:top w:w="70" w:type="dxa"/>
              <w:bottom w:w="70" w:type="dxa"/>
              <w:left w:w="100" w:type="dxa"/>
              <w:right w:w="100" w:type="dxa"/>
            </w:tcMar>
          </w:tcPr>
          <w:p>
            <w:pPr>
              <w:spacing w:after="0"/>
            </w:pPr>
            <w:r>
              <w:rPr>
                <w:rFonts w:ascii="Arial" w:hAnsi="Arial"/>
                <w:color w:val="222222"/>
                <w:sz w:val="17"/>
              </w:rPr>
              <w:t>7.9072</w:t>
            </w:r>
          </w:p>
        </w:tc>
        <w:tc>
          <w:tcPr>
            <w:tcW w:type="dxa" w:w="1872"/>
            <w:shd w:fill="FFFFFF"/>
            <w:tcMar>
              <w:top w:w="70" w:type="dxa"/>
              <w:bottom w:w="70" w:type="dxa"/>
              <w:left w:w="100" w:type="dxa"/>
              <w:right w:w="100" w:type="dxa"/>
            </w:tcMar>
          </w:tcPr>
          <w:p>
            <w:pPr>
              <w:spacing w:after="0"/>
            </w:pPr>
            <w:r>
              <w:rPr>
                <w:rFonts w:ascii="Arial" w:hAnsi="Arial"/>
                <w:color w:val="222222"/>
                <w:sz w:val="17"/>
              </w:rPr>
              <w:t>6.3466</w:t>
            </w:r>
          </w:p>
        </w:tc>
        <w:tc>
          <w:tcPr>
            <w:tcW w:type="dxa" w:w="1872"/>
            <w:shd w:fill="FFFFFF"/>
            <w:tcMar>
              <w:top w:w="70" w:type="dxa"/>
              <w:bottom w:w="70" w:type="dxa"/>
              <w:left w:w="100" w:type="dxa"/>
              <w:right w:w="100" w:type="dxa"/>
            </w:tcMar>
          </w:tcPr>
          <w:p>
            <w:pPr>
              <w:spacing w:after="0"/>
            </w:pPr>
            <w:r>
              <w:rPr>
                <w:rFonts w:ascii="Arial" w:hAnsi="Arial"/>
                <w:color w:val="222222"/>
                <w:sz w:val="17"/>
              </w:rPr>
              <w:t>0.3604</w:t>
            </w:r>
          </w:p>
        </w:tc>
        <w:tc>
          <w:tcPr>
            <w:tcW w:type="dxa" w:w="1872"/>
            <w:shd w:fill="FFFFFF"/>
            <w:tcMar>
              <w:top w:w="70" w:type="dxa"/>
              <w:bottom w:w="70" w:type="dxa"/>
              <w:left w:w="100" w:type="dxa"/>
              <w:right w:w="100" w:type="dxa"/>
            </w:tcMar>
          </w:tcPr>
          <w:p>
            <w:pPr>
              <w:spacing w:after="0"/>
            </w:pPr>
            <w:r>
              <w:rPr>
                <w:rFonts w:ascii="Arial" w:hAnsi="Arial"/>
                <w:color w:val="222222"/>
                <w:sz w:val="17"/>
              </w:rPr>
              <w:t>8.01%</w:t>
            </w:r>
          </w:p>
        </w:tc>
      </w:tr>
      <w:tr>
        <w:tc>
          <w:tcPr>
            <w:tcW w:type="dxa" w:w="1872"/>
            <w:shd w:fill="F9FAFC"/>
            <w:tcMar>
              <w:top w:w="70" w:type="dxa"/>
              <w:bottom w:w="70" w:type="dxa"/>
              <w:left w:w="100" w:type="dxa"/>
              <w:right w:w="100" w:type="dxa"/>
            </w:tcMar>
          </w:tcPr>
          <w:p>
            <w:pPr>
              <w:spacing w:after="0"/>
            </w:pPr>
            <w:r>
              <w:rPr>
                <w:rFonts w:ascii="Arial" w:hAnsi="Arial"/>
                <w:b/>
                <w:color w:val="222222"/>
                <w:sz w:val="17"/>
              </w:rPr>
              <w:t>LightGBM Regressor (Tuned)</w:t>
            </w:r>
          </w:p>
        </w:tc>
        <w:tc>
          <w:tcPr>
            <w:tcW w:type="dxa" w:w="1872"/>
            <w:shd w:fill="F9FAFC"/>
            <w:tcMar>
              <w:top w:w="70" w:type="dxa"/>
              <w:bottom w:w="70" w:type="dxa"/>
              <w:left w:w="100" w:type="dxa"/>
              <w:right w:w="100" w:type="dxa"/>
            </w:tcMar>
          </w:tcPr>
          <w:p>
            <w:pPr>
              <w:spacing w:after="0"/>
            </w:pPr>
            <w:r>
              <w:rPr>
                <w:rFonts w:ascii="Arial" w:hAnsi="Arial"/>
                <w:color w:val="222222"/>
                <w:sz w:val="17"/>
              </w:rPr>
              <w:t>7.8878</w:t>
            </w:r>
          </w:p>
        </w:tc>
        <w:tc>
          <w:tcPr>
            <w:tcW w:type="dxa" w:w="1872"/>
            <w:shd w:fill="F9FAFC"/>
            <w:tcMar>
              <w:top w:w="70" w:type="dxa"/>
              <w:bottom w:w="70" w:type="dxa"/>
              <w:left w:w="100" w:type="dxa"/>
              <w:right w:w="100" w:type="dxa"/>
            </w:tcMar>
          </w:tcPr>
          <w:p>
            <w:pPr>
              <w:spacing w:after="0"/>
            </w:pPr>
            <w:r>
              <w:rPr>
                <w:rFonts w:ascii="Arial" w:hAnsi="Arial"/>
                <w:color w:val="222222"/>
                <w:sz w:val="17"/>
              </w:rPr>
              <w:t>6.3321</w:t>
            </w:r>
          </w:p>
        </w:tc>
        <w:tc>
          <w:tcPr>
            <w:tcW w:type="dxa" w:w="1872"/>
            <w:shd w:fill="F9FAFC"/>
            <w:tcMar>
              <w:top w:w="70" w:type="dxa"/>
              <w:bottom w:w="70" w:type="dxa"/>
              <w:left w:w="100" w:type="dxa"/>
              <w:right w:w="100" w:type="dxa"/>
            </w:tcMar>
          </w:tcPr>
          <w:p>
            <w:pPr>
              <w:spacing w:after="0"/>
            </w:pPr>
            <w:r>
              <w:rPr>
                <w:rFonts w:ascii="Arial" w:hAnsi="Arial"/>
                <w:color w:val="222222"/>
                <w:sz w:val="17"/>
              </w:rPr>
              <w:t>0.3635</w:t>
            </w:r>
          </w:p>
        </w:tc>
        <w:tc>
          <w:tcPr>
            <w:tcW w:type="dxa" w:w="1872"/>
            <w:shd w:fill="F9FAFC"/>
            <w:tcMar>
              <w:top w:w="70" w:type="dxa"/>
              <w:bottom w:w="70" w:type="dxa"/>
              <w:left w:w="100" w:type="dxa"/>
              <w:right w:w="100" w:type="dxa"/>
            </w:tcMar>
          </w:tcPr>
          <w:p>
            <w:pPr>
              <w:spacing w:after="0"/>
            </w:pPr>
            <w:r>
              <w:rPr>
                <w:rFonts w:ascii="Arial" w:hAnsi="Arial"/>
                <w:color w:val="222222"/>
                <w:sz w:val="17"/>
              </w:rPr>
              <w:t>8.00%</w:t>
            </w:r>
          </w:p>
        </w:tc>
      </w:tr>
      <w:tr>
        <w:tc>
          <w:tcPr>
            <w:tcW w:type="dxa" w:w="1872"/>
            <w:shd w:fill="FFFFFF"/>
            <w:tcMar>
              <w:top w:w="70" w:type="dxa"/>
              <w:bottom w:w="70" w:type="dxa"/>
              <w:left w:w="100" w:type="dxa"/>
              <w:right w:w="100" w:type="dxa"/>
            </w:tcMar>
          </w:tcPr>
          <w:p>
            <w:pPr>
              <w:spacing w:after="0"/>
            </w:pPr>
            <w:r>
              <w:rPr>
                <w:rFonts w:ascii="Arial" w:hAnsi="Arial"/>
                <w:b/>
                <w:color w:val="222222"/>
                <w:sz w:val="17"/>
              </w:rPr>
              <w:t>XGBoost Regressor (depth=6)</w:t>
            </w:r>
          </w:p>
        </w:tc>
        <w:tc>
          <w:tcPr>
            <w:tcW w:type="dxa" w:w="1872"/>
            <w:shd w:fill="FFFFFF"/>
            <w:tcMar>
              <w:top w:w="70" w:type="dxa"/>
              <w:bottom w:w="70" w:type="dxa"/>
              <w:left w:w="100" w:type="dxa"/>
              <w:right w:w="100" w:type="dxa"/>
            </w:tcMar>
          </w:tcPr>
          <w:p>
            <w:pPr>
              <w:spacing w:after="0"/>
            </w:pPr>
            <w:r>
              <w:rPr>
                <w:rFonts w:ascii="Arial" w:hAnsi="Arial"/>
                <w:color w:val="222222"/>
                <w:sz w:val="17"/>
              </w:rPr>
              <w:t>7.9089</w:t>
            </w:r>
          </w:p>
        </w:tc>
        <w:tc>
          <w:tcPr>
            <w:tcW w:type="dxa" w:w="1872"/>
            <w:shd w:fill="FFFFFF"/>
            <w:tcMar>
              <w:top w:w="70" w:type="dxa"/>
              <w:bottom w:w="70" w:type="dxa"/>
              <w:left w:w="100" w:type="dxa"/>
              <w:right w:w="100" w:type="dxa"/>
            </w:tcMar>
          </w:tcPr>
          <w:p>
            <w:pPr>
              <w:spacing w:after="0"/>
            </w:pPr>
            <w:r>
              <w:rPr>
                <w:rFonts w:ascii="Arial" w:hAnsi="Arial"/>
                <w:color w:val="222222"/>
                <w:sz w:val="17"/>
              </w:rPr>
              <w:t>6.3489</w:t>
            </w:r>
          </w:p>
        </w:tc>
        <w:tc>
          <w:tcPr>
            <w:tcW w:type="dxa" w:w="1872"/>
            <w:shd w:fill="FFFFFF"/>
            <w:tcMar>
              <w:top w:w="70" w:type="dxa"/>
              <w:bottom w:w="70" w:type="dxa"/>
              <w:left w:w="100" w:type="dxa"/>
              <w:right w:w="100" w:type="dxa"/>
            </w:tcMar>
          </w:tcPr>
          <w:p>
            <w:pPr>
              <w:spacing w:after="0"/>
            </w:pPr>
            <w:r>
              <w:rPr>
                <w:rFonts w:ascii="Arial" w:hAnsi="Arial"/>
                <w:color w:val="222222"/>
                <w:sz w:val="17"/>
              </w:rPr>
              <w:t>0.3601</w:t>
            </w:r>
          </w:p>
        </w:tc>
        <w:tc>
          <w:tcPr>
            <w:tcW w:type="dxa" w:w="1872"/>
            <w:shd w:fill="FFFFFF"/>
            <w:tcMar>
              <w:top w:w="70" w:type="dxa"/>
              <w:bottom w:w="70" w:type="dxa"/>
              <w:left w:w="100" w:type="dxa"/>
              <w:right w:w="100" w:type="dxa"/>
            </w:tcMar>
          </w:tcPr>
          <w:p>
            <w:pPr>
              <w:spacing w:after="0"/>
            </w:pPr>
            <w:r>
              <w:rPr>
                <w:rFonts w:ascii="Arial" w:hAnsi="Arial"/>
                <w:color w:val="222222"/>
                <w:sz w:val="17"/>
              </w:rPr>
              <w:t>8.02%</w:t>
            </w:r>
          </w:p>
        </w:tc>
      </w:tr>
      <w:tr>
        <w:tc>
          <w:tcPr>
            <w:tcW w:type="dxa" w:w="1872"/>
            <w:shd w:fill="F9FAFC"/>
            <w:tcMar>
              <w:top w:w="70" w:type="dxa"/>
              <w:bottom w:w="70" w:type="dxa"/>
              <w:left w:w="100" w:type="dxa"/>
              <w:right w:w="100" w:type="dxa"/>
            </w:tcMar>
          </w:tcPr>
          <w:p>
            <w:pPr>
              <w:spacing w:after="0"/>
            </w:pPr>
            <w:r>
              <w:rPr>
                <w:rFonts w:ascii="Arial" w:hAnsi="Arial"/>
                <w:b/>
                <w:color w:val="222222"/>
                <w:sz w:val="17"/>
              </w:rPr>
              <w:t>Voting Ensemble (RF + LGB + XGB)</w:t>
            </w:r>
          </w:p>
        </w:tc>
        <w:tc>
          <w:tcPr>
            <w:tcW w:type="dxa" w:w="1872"/>
            <w:shd w:fill="F9FAFC"/>
            <w:tcMar>
              <w:top w:w="70" w:type="dxa"/>
              <w:bottom w:w="70" w:type="dxa"/>
              <w:left w:w="100" w:type="dxa"/>
              <w:right w:w="100" w:type="dxa"/>
            </w:tcMar>
          </w:tcPr>
          <w:p>
            <w:pPr>
              <w:spacing w:after="0"/>
            </w:pPr>
            <w:r>
              <w:rPr>
                <w:rFonts w:ascii="Arial" w:hAnsi="Arial"/>
                <w:color w:val="222222"/>
                <w:sz w:val="17"/>
              </w:rPr>
              <w:t>7.8965</w:t>
            </w:r>
          </w:p>
        </w:tc>
        <w:tc>
          <w:tcPr>
            <w:tcW w:type="dxa" w:w="1872"/>
            <w:shd w:fill="F9FAFC"/>
            <w:tcMar>
              <w:top w:w="70" w:type="dxa"/>
              <w:bottom w:w="70" w:type="dxa"/>
              <w:left w:w="100" w:type="dxa"/>
              <w:right w:w="100" w:type="dxa"/>
            </w:tcMar>
          </w:tcPr>
          <w:p>
            <w:pPr>
              <w:spacing w:after="0"/>
            </w:pPr>
            <w:r>
              <w:rPr>
                <w:rFonts w:ascii="Arial" w:hAnsi="Arial"/>
                <w:color w:val="222222"/>
                <w:sz w:val="17"/>
              </w:rPr>
              <w:t>6.3393</w:t>
            </w:r>
          </w:p>
        </w:tc>
        <w:tc>
          <w:tcPr>
            <w:tcW w:type="dxa" w:w="1872"/>
            <w:shd w:fill="F9FAFC"/>
            <w:tcMar>
              <w:top w:w="70" w:type="dxa"/>
              <w:bottom w:w="70" w:type="dxa"/>
              <w:left w:w="100" w:type="dxa"/>
              <w:right w:w="100" w:type="dxa"/>
            </w:tcMar>
          </w:tcPr>
          <w:p>
            <w:pPr>
              <w:spacing w:after="0"/>
            </w:pPr>
            <w:r>
              <w:rPr>
                <w:rFonts w:ascii="Arial" w:hAnsi="Arial"/>
                <w:color w:val="222222"/>
                <w:sz w:val="17"/>
              </w:rPr>
              <w:t>0.3621</w:t>
            </w:r>
          </w:p>
        </w:tc>
        <w:tc>
          <w:tcPr>
            <w:tcW w:type="dxa" w:w="1872"/>
            <w:shd w:fill="F9FAFC"/>
            <w:tcMar>
              <w:top w:w="70" w:type="dxa"/>
              <w:bottom w:w="70" w:type="dxa"/>
              <w:left w:w="100" w:type="dxa"/>
              <w:right w:w="100" w:type="dxa"/>
            </w:tcMar>
          </w:tcPr>
          <w:p>
            <w:pPr>
              <w:spacing w:after="0"/>
            </w:pPr>
            <w:r>
              <w:rPr>
                <w:rFonts w:ascii="Arial" w:hAnsi="Arial"/>
                <w:color w:val="222222"/>
                <w:sz w:val="17"/>
              </w:rPr>
              <w:t>8.00%</w:t>
            </w:r>
          </w:p>
        </w:tc>
      </w:tr>
    </w:tbl>
    <w:p>
      <w:pPr>
        <w:spacing w:after="120"/>
      </w:pPr>
    </w:p>
    <w:p>
      <w:pPr>
        <w:spacing w:before="160" w:after="80"/>
        <w:jc w:val="center"/>
      </w:pPr>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fig4_regression_comparison.png"/>
                    <pic:cNvPicPr/>
                  </pic:nvPicPr>
                  <pic:blipFill>
                    <a:blip r:embed="rId12"/>
                    <a:stretch>
                      <a:fillRect/>
                    </a:stretch>
                  </pic:blipFill>
                  <pic:spPr>
                    <a:xfrm>
                      <a:off x="0" y="0"/>
                      <a:ext cx="5486400" cy="1959429"/>
                    </a:xfrm>
                    <a:prstGeom prst="rect"/>
                  </pic:spPr>
                </pic:pic>
              </a:graphicData>
            </a:graphic>
          </wp:inline>
        </w:drawing>
      </w:r>
    </w:p>
    <w:p>
      <w:pPr>
        <w:spacing w:after="240"/>
        <w:jc w:val="center"/>
      </w:pPr>
      <w:r>
        <w:rPr>
          <w:rFonts w:ascii="Arial" w:hAnsi="Arial"/>
          <w:b/>
          <w:color w:val="646E78"/>
          <w:sz w:val="19"/>
        </w:rPr>
        <w:t>Figure 4: Quantitative Performance Metrics across Regression Architectures</w:t>
      </w:r>
    </w:p>
    <w:p>
      <w:pPr>
        <w:spacing w:before="160" w:after="80"/>
        <w:jc w:val="center"/>
      </w:pPr>
      <w:r>
        <w:drawing>
          <wp:inline xmlns:a="http://schemas.openxmlformats.org/drawingml/2006/main" xmlns:pic="http://schemas.openxmlformats.org/drawingml/2006/picture">
            <wp:extent cx="5486400" cy="1959429"/>
            <wp:docPr id="5" name="Picture 5"/>
            <wp:cNvGraphicFramePr>
              <a:graphicFrameLocks noChangeAspect="1"/>
            </wp:cNvGraphicFramePr>
            <a:graphic>
              <a:graphicData uri="http://schemas.openxmlformats.org/drawingml/2006/picture">
                <pic:pic>
                  <pic:nvPicPr>
                    <pic:cNvPr id="0" name="fig5_residuals_diagnostic.png"/>
                    <pic:cNvPicPr/>
                  </pic:nvPicPr>
                  <pic:blipFill>
                    <a:blip r:embed="rId13"/>
                    <a:stretch>
                      <a:fillRect/>
                    </a:stretch>
                  </pic:blipFill>
                  <pic:spPr>
                    <a:xfrm>
                      <a:off x="0" y="0"/>
                      <a:ext cx="5486400" cy="1959429"/>
                    </a:xfrm>
                    <a:prstGeom prst="rect"/>
                  </pic:spPr>
                </pic:pic>
              </a:graphicData>
            </a:graphic>
          </wp:inline>
        </w:drawing>
      </w:r>
    </w:p>
    <w:p>
      <w:pPr>
        <w:spacing w:after="240"/>
        <w:jc w:val="center"/>
      </w:pPr>
      <w:r>
        <w:rPr>
          <w:rFonts w:ascii="Arial" w:hAnsi="Arial"/>
          <w:b/>
          <w:color w:val="646E78"/>
          <w:sz w:val="19"/>
        </w:rPr>
        <w:t>Figure 5: Residual Diagnostics and Error Distribution for Tuned LightGBM Regressor</w:t>
      </w:r>
    </w:p>
    <w:p>
      <w:pPr>
        <w:keepNext/>
        <w:spacing w:before="280" w:after="80"/>
      </w:pPr>
      <w:r>
        <w:rPr>
          <w:rFonts w:ascii="Arial" w:hAnsi="Arial"/>
          <w:b/>
          <w:color w:val="4A607A"/>
          <w:sz w:val="26"/>
        </w:rPr>
        <w:t>e.2 Residual Analysis &amp; Error Diagnostics</w:t>
      </w:r>
    </w:p>
    <w:p>
      <w:pPr>
        <w:spacing w:after="120" w:line="276" w:lineRule="auto"/>
      </w:pPr>
      <w:r>
        <w:rPr>
          <w:rFonts w:ascii="Arial" w:hAnsi="Arial"/>
          <w:color w:val="222222"/>
          <w:sz w:val="21"/>
        </w:rPr>
        <w:t>Residual diagnostics (Figure 5) confirm that the error terms e_i = y_i - y_hat_i are symmetrically distributed around zero with a near-Gaussian distribution (mean error = -0.012 points, standard deviation = 7.88). The absence of pronounced heteroskedasticity or non-linear curvature across the predicted range confirms that the linear and tree-based representations adequately model the conditional expectation.</w:t>
      </w:r>
    </w:p>
    <w:p>
      <w:pPr>
        <w:keepNext/>
        <w:spacing w:before="280" w:after="80"/>
      </w:pPr>
      <w:r>
        <w:rPr>
          <w:rFonts w:ascii="Arial" w:hAnsi="Arial"/>
          <w:b/>
          <w:color w:val="4A607A"/>
          <w:sz w:val="26"/>
        </w:rPr>
        <w:t>e.3 Classification Benchmarking (Grade Letter Prediction)</w:t>
      </w:r>
    </w:p>
    <w:p>
      <w:pPr>
        <w:spacing w:after="120" w:line="276" w:lineRule="auto"/>
      </w:pPr>
      <w:r>
        <w:rPr>
          <w:rFonts w:ascii="Arial" w:hAnsi="Arial"/>
          <w:color w:val="222222"/>
          <w:sz w:val="21"/>
        </w:rPr>
        <w:t>Predicting 10 discrete grade categories without access to numeric_grade represents a challenging statistical learning problem. Because adjacent grades (e.g., 'B' vs. 'B-' or 'B+') differ by merely 3 points on an underlying 100-point scale, models must distinguish fine boundaries solely from engagement and prior metrics. Table 2 and Figure 6 document classification metrics across models.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Mar>
              <w:top w:w="80" w:type="dxa"/>
              <w:bottom w:w="80" w:type="dxa"/>
              <w:left w:w="80" w:type="dxa"/>
              <w:right w:w="80" w:type="dxa"/>
            </w:tcMar>
          </w:tcPr>
          <w:p>
            <w:pPr>
              <w:spacing w:after="0"/>
            </w:pPr>
            <w:r>
              <w:rPr>
                <w:rFonts w:ascii="Arial" w:hAnsi="Arial"/>
                <w:b/>
                <w:color w:val="FFFFFF"/>
                <w:sz w:val="17"/>
              </w:rPr>
              <w:t>Classification Model</w:t>
            </w:r>
          </w:p>
        </w:tc>
        <w:tc>
          <w:tcPr>
            <w:tcW w:type="dxa" w:w="1560"/>
            <w:shd w:fill="003366"/>
            <w:tcMar>
              <w:top w:w="80" w:type="dxa"/>
              <w:bottom w:w="80" w:type="dxa"/>
              <w:left w:w="80" w:type="dxa"/>
              <w:right w:w="80" w:type="dxa"/>
            </w:tcMar>
          </w:tcPr>
          <w:p>
            <w:pPr>
              <w:spacing w:after="0"/>
            </w:pPr>
            <w:r>
              <w:rPr>
                <w:rFonts w:ascii="Arial" w:hAnsi="Arial"/>
                <w:b/>
                <w:color w:val="FFFFFF"/>
                <w:sz w:val="17"/>
              </w:rPr>
              <w:t>Overall Acc</w:t>
            </w:r>
          </w:p>
        </w:tc>
        <w:tc>
          <w:tcPr>
            <w:tcW w:type="dxa" w:w="1560"/>
            <w:shd w:fill="003366"/>
            <w:tcMar>
              <w:top w:w="80" w:type="dxa"/>
              <w:bottom w:w="80" w:type="dxa"/>
              <w:left w:w="80" w:type="dxa"/>
              <w:right w:w="80" w:type="dxa"/>
            </w:tcMar>
          </w:tcPr>
          <w:p>
            <w:pPr>
              <w:spacing w:after="0"/>
            </w:pPr>
            <w:r>
              <w:rPr>
                <w:rFonts w:ascii="Arial" w:hAnsi="Arial"/>
                <w:b/>
                <w:color w:val="FFFFFF"/>
                <w:sz w:val="17"/>
              </w:rPr>
              <w:t>Macro Prec</w:t>
            </w:r>
          </w:p>
        </w:tc>
        <w:tc>
          <w:tcPr>
            <w:tcW w:type="dxa" w:w="1560"/>
            <w:shd w:fill="003366"/>
            <w:tcMar>
              <w:top w:w="80" w:type="dxa"/>
              <w:bottom w:w="80" w:type="dxa"/>
              <w:left w:w="80" w:type="dxa"/>
              <w:right w:w="80" w:type="dxa"/>
            </w:tcMar>
          </w:tcPr>
          <w:p>
            <w:pPr>
              <w:spacing w:after="0"/>
            </w:pPr>
            <w:r>
              <w:rPr>
                <w:rFonts w:ascii="Arial" w:hAnsi="Arial"/>
                <w:b/>
                <w:color w:val="FFFFFF"/>
                <w:sz w:val="17"/>
              </w:rPr>
              <w:t>Macro Recall</w:t>
            </w:r>
          </w:p>
        </w:tc>
        <w:tc>
          <w:tcPr>
            <w:tcW w:type="dxa" w:w="1560"/>
            <w:shd w:fill="003366"/>
            <w:tcMar>
              <w:top w:w="80" w:type="dxa"/>
              <w:bottom w:w="80" w:type="dxa"/>
              <w:left w:w="80" w:type="dxa"/>
              <w:right w:w="80" w:type="dxa"/>
            </w:tcMar>
          </w:tcPr>
          <w:p>
            <w:pPr>
              <w:spacing w:after="0"/>
            </w:pPr>
            <w:r>
              <w:rPr>
                <w:rFonts w:ascii="Arial" w:hAnsi="Arial"/>
                <w:b/>
                <w:color w:val="FFFFFF"/>
                <w:sz w:val="17"/>
              </w:rPr>
              <w:t>F1-Macro</w:t>
            </w:r>
          </w:p>
        </w:tc>
        <w:tc>
          <w:tcPr>
            <w:tcW w:type="dxa" w:w="1560"/>
            <w:shd w:fill="003366"/>
            <w:tcMar>
              <w:top w:w="80" w:type="dxa"/>
              <w:bottom w:w="80" w:type="dxa"/>
              <w:left w:w="80" w:type="dxa"/>
              <w:right w:w="80" w:type="dxa"/>
            </w:tcMar>
          </w:tcPr>
          <w:p>
            <w:pPr>
              <w:spacing w:after="0"/>
            </w:pPr>
            <w:r>
              <w:rPr>
                <w:rFonts w:ascii="Arial" w:hAnsi="Arial"/>
                <w:b/>
                <w:color w:val="FFFFFF"/>
                <w:sz w:val="17"/>
              </w:rPr>
              <w:t>F1-Weighted</w:t>
            </w:r>
          </w:p>
        </w:tc>
      </w:tr>
      <w:tr>
        <w:tc>
          <w:tcPr>
            <w:tcW w:type="dxa" w:w="1560"/>
            <w:shd w:fill="FFFFFF"/>
            <w:tcMar>
              <w:top w:w="70" w:type="dxa"/>
              <w:bottom w:w="70" w:type="dxa"/>
              <w:left w:w="80" w:type="dxa"/>
              <w:right w:w="80" w:type="dxa"/>
            </w:tcMar>
          </w:tcPr>
          <w:p>
            <w:pPr>
              <w:spacing w:after="0"/>
            </w:pPr>
            <w:r>
              <w:rPr>
                <w:rFonts w:ascii="Arial" w:hAnsi="Arial"/>
                <w:b/>
                <w:color w:val="222222"/>
                <w:sz w:val="16"/>
              </w:rPr>
              <w:t>Multinomial Logistic Regression (Balanced)</w:t>
            </w:r>
          </w:p>
        </w:tc>
        <w:tc>
          <w:tcPr>
            <w:tcW w:type="dxa" w:w="1560"/>
            <w:shd w:fill="FFFFFF"/>
            <w:tcMar>
              <w:top w:w="70" w:type="dxa"/>
              <w:bottom w:w="70" w:type="dxa"/>
              <w:left w:w="80" w:type="dxa"/>
              <w:right w:w="80" w:type="dxa"/>
            </w:tcMar>
          </w:tcPr>
          <w:p>
            <w:pPr>
              <w:spacing w:after="0"/>
            </w:pPr>
            <w:r>
              <w:rPr>
                <w:rFonts w:ascii="Arial" w:hAnsi="Arial"/>
                <w:color w:val="222222"/>
                <w:sz w:val="16"/>
              </w:rPr>
              <w:t>0.2918</w:t>
            </w:r>
          </w:p>
        </w:tc>
        <w:tc>
          <w:tcPr>
            <w:tcW w:type="dxa" w:w="1560"/>
            <w:shd w:fill="FFFFFF"/>
            <w:tcMar>
              <w:top w:w="70" w:type="dxa"/>
              <w:bottom w:w="70" w:type="dxa"/>
              <w:left w:w="80" w:type="dxa"/>
              <w:right w:w="80" w:type="dxa"/>
            </w:tcMar>
          </w:tcPr>
          <w:p>
            <w:pPr>
              <w:spacing w:after="0"/>
            </w:pPr>
            <w:r>
              <w:rPr>
                <w:rFonts w:ascii="Arial" w:hAnsi="Arial"/>
                <w:color w:val="222222"/>
                <w:sz w:val="16"/>
              </w:rPr>
              <w:t>0.2766</w:t>
            </w:r>
          </w:p>
        </w:tc>
        <w:tc>
          <w:tcPr>
            <w:tcW w:type="dxa" w:w="1560"/>
            <w:shd w:fill="FFFFFF"/>
            <w:tcMar>
              <w:top w:w="70" w:type="dxa"/>
              <w:bottom w:w="70" w:type="dxa"/>
              <w:left w:w="80" w:type="dxa"/>
              <w:right w:w="80" w:type="dxa"/>
            </w:tcMar>
          </w:tcPr>
          <w:p>
            <w:pPr>
              <w:spacing w:after="0"/>
            </w:pPr>
            <w:r>
              <w:rPr>
                <w:rFonts w:ascii="Arial" w:hAnsi="Arial"/>
                <w:color w:val="222222"/>
                <w:sz w:val="16"/>
              </w:rPr>
              <w:t>0.3531</w:t>
            </w:r>
          </w:p>
        </w:tc>
        <w:tc>
          <w:tcPr>
            <w:tcW w:type="dxa" w:w="1560"/>
            <w:shd w:fill="FFFFFF"/>
            <w:tcMar>
              <w:top w:w="70" w:type="dxa"/>
              <w:bottom w:w="70" w:type="dxa"/>
              <w:left w:w="80" w:type="dxa"/>
              <w:right w:w="80" w:type="dxa"/>
            </w:tcMar>
          </w:tcPr>
          <w:p>
            <w:pPr>
              <w:spacing w:after="0"/>
            </w:pPr>
            <w:r>
              <w:rPr>
                <w:rFonts w:ascii="Arial" w:hAnsi="Arial"/>
                <w:color w:val="222222"/>
                <w:sz w:val="16"/>
              </w:rPr>
              <w:t>0.2862</w:t>
            </w:r>
          </w:p>
        </w:tc>
        <w:tc>
          <w:tcPr>
            <w:tcW w:type="dxa" w:w="1560"/>
            <w:shd w:fill="FFFFFF"/>
            <w:tcMar>
              <w:top w:w="70" w:type="dxa"/>
              <w:bottom w:w="70" w:type="dxa"/>
              <w:left w:w="80" w:type="dxa"/>
              <w:right w:w="80" w:type="dxa"/>
            </w:tcMar>
          </w:tcPr>
          <w:p>
            <w:pPr>
              <w:spacing w:after="0"/>
            </w:pPr>
            <w:r>
              <w:rPr>
                <w:rFonts w:ascii="Arial" w:hAnsi="Arial"/>
                <w:color w:val="222222"/>
                <w:sz w:val="16"/>
              </w:rPr>
              <w:t>0.2872</w:t>
            </w:r>
          </w:p>
        </w:tc>
      </w:tr>
      <w:tr>
        <w:tc>
          <w:tcPr>
            <w:tcW w:type="dxa" w:w="1560"/>
            <w:shd w:fill="F9FAFC"/>
            <w:tcMar>
              <w:top w:w="70" w:type="dxa"/>
              <w:bottom w:w="70" w:type="dxa"/>
              <w:left w:w="80" w:type="dxa"/>
              <w:right w:w="80" w:type="dxa"/>
            </w:tcMar>
          </w:tcPr>
          <w:p>
            <w:pPr>
              <w:spacing w:after="0"/>
            </w:pPr>
            <w:r>
              <w:rPr>
                <w:rFonts w:ascii="Arial" w:hAnsi="Arial"/>
                <w:b/>
                <w:color w:val="222222"/>
                <w:sz w:val="16"/>
              </w:rPr>
              <w:t>Decision Tree Classifier (Balanced)</w:t>
            </w:r>
          </w:p>
        </w:tc>
        <w:tc>
          <w:tcPr>
            <w:tcW w:type="dxa" w:w="1560"/>
            <w:shd w:fill="F9FAFC"/>
            <w:tcMar>
              <w:top w:w="70" w:type="dxa"/>
              <w:bottom w:w="70" w:type="dxa"/>
              <w:left w:w="80" w:type="dxa"/>
              <w:right w:w="80" w:type="dxa"/>
            </w:tcMar>
          </w:tcPr>
          <w:p>
            <w:pPr>
              <w:spacing w:after="0"/>
            </w:pPr>
            <w:r>
              <w:rPr>
                <w:rFonts w:ascii="Arial" w:hAnsi="Arial"/>
                <w:color w:val="222222"/>
                <w:sz w:val="16"/>
              </w:rPr>
              <w:t>0.2944</w:t>
            </w:r>
          </w:p>
        </w:tc>
        <w:tc>
          <w:tcPr>
            <w:tcW w:type="dxa" w:w="1560"/>
            <w:shd w:fill="F9FAFC"/>
            <w:tcMar>
              <w:top w:w="70" w:type="dxa"/>
              <w:bottom w:w="70" w:type="dxa"/>
              <w:left w:w="80" w:type="dxa"/>
              <w:right w:w="80" w:type="dxa"/>
            </w:tcMar>
          </w:tcPr>
          <w:p>
            <w:pPr>
              <w:spacing w:after="0"/>
            </w:pPr>
            <w:r>
              <w:rPr>
                <w:rFonts w:ascii="Arial" w:hAnsi="Arial"/>
                <w:color w:val="222222"/>
                <w:sz w:val="16"/>
              </w:rPr>
              <w:t>0.2899</w:t>
            </w:r>
          </w:p>
        </w:tc>
        <w:tc>
          <w:tcPr>
            <w:tcW w:type="dxa" w:w="1560"/>
            <w:shd w:fill="F9FAFC"/>
            <w:tcMar>
              <w:top w:w="70" w:type="dxa"/>
              <w:bottom w:w="70" w:type="dxa"/>
              <w:left w:w="80" w:type="dxa"/>
              <w:right w:w="80" w:type="dxa"/>
            </w:tcMar>
          </w:tcPr>
          <w:p>
            <w:pPr>
              <w:spacing w:after="0"/>
            </w:pPr>
            <w:r>
              <w:rPr>
                <w:rFonts w:ascii="Arial" w:hAnsi="Arial"/>
                <w:color w:val="222222"/>
                <w:sz w:val="16"/>
              </w:rPr>
              <w:t>0.3490</w:t>
            </w:r>
          </w:p>
        </w:tc>
        <w:tc>
          <w:tcPr>
            <w:tcW w:type="dxa" w:w="1560"/>
            <w:shd w:fill="F9FAFC"/>
            <w:tcMar>
              <w:top w:w="70" w:type="dxa"/>
              <w:bottom w:w="70" w:type="dxa"/>
              <w:left w:w="80" w:type="dxa"/>
              <w:right w:w="80" w:type="dxa"/>
            </w:tcMar>
          </w:tcPr>
          <w:p>
            <w:pPr>
              <w:spacing w:after="0"/>
            </w:pPr>
            <w:r>
              <w:rPr>
                <w:rFonts w:ascii="Arial" w:hAnsi="Arial"/>
                <w:color w:val="222222"/>
                <w:sz w:val="16"/>
              </w:rPr>
              <w:t>0.2921</w:t>
            </w:r>
          </w:p>
        </w:tc>
        <w:tc>
          <w:tcPr>
            <w:tcW w:type="dxa" w:w="1560"/>
            <w:shd w:fill="F9FAFC"/>
            <w:tcMar>
              <w:top w:w="70" w:type="dxa"/>
              <w:bottom w:w="70" w:type="dxa"/>
              <w:left w:w="80" w:type="dxa"/>
              <w:right w:w="80" w:type="dxa"/>
            </w:tcMar>
          </w:tcPr>
          <w:p>
            <w:pPr>
              <w:spacing w:after="0"/>
            </w:pPr>
            <w:r>
              <w:rPr>
                <w:rFonts w:ascii="Arial" w:hAnsi="Arial"/>
                <w:color w:val="222222"/>
                <w:sz w:val="16"/>
              </w:rPr>
              <w:t>0.2929</w:t>
            </w:r>
          </w:p>
        </w:tc>
      </w:tr>
      <w:tr>
        <w:tc>
          <w:tcPr>
            <w:tcW w:type="dxa" w:w="1560"/>
            <w:shd w:fill="FFFFFF"/>
            <w:tcMar>
              <w:top w:w="70" w:type="dxa"/>
              <w:bottom w:w="70" w:type="dxa"/>
              <w:left w:w="80" w:type="dxa"/>
              <w:right w:w="80" w:type="dxa"/>
            </w:tcMar>
          </w:tcPr>
          <w:p>
            <w:pPr>
              <w:spacing w:after="0"/>
            </w:pPr>
            <w:r>
              <w:rPr>
                <w:rFonts w:ascii="Arial" w:hAnsi="Arial"/>
                <w:b/>
                <w:color w:val="222222"/>
                <w:sz w:val="16"/>
              </w:rPr>
              <w:t>Random Forest Classifier (Balanced)</w:t>
            </w:r>
          </w:p>
        </w:tc>
        <w:tc>
          <w:tcPr>
            <w:tcW w:type="dxa" w:w="1560"/>
            <w:shd w:fill="FFFFFF"/>
            <w:tcMar>
              <w:top w:w="70" w:type="dxa"/>
              <w:bottom w:w="70" w:type="dxa"/>
              <w:left w:w="80" w:type="dxa"/>
              <w:right w:w="80" w:type="dxa"/>
            </w:tcMar>
          </w:tcPr>
          <w:p>
            <w:pPr>
              <w:spacing w:after="0"/>
            </w:pPr>
            <w:r>
              <w:rPr>
                <w:rFonts w:ascii="Arial" w:hAnsi="Arial"/>
                <w:color w:val="222222"/>
                <w:sz w:val="16"/>
              </w:rPr>
              <w:t>0.2915</w:t>
            </w:r>
          </w:p>
        </w:tc>
        <w:tc>
          <w:tcPr>
            <w:tcW w:type="dxa" w:w="1560"/>
            <w:shd w:fill="FFFFFF"/>
            <w:tcMar>
              <w:top w:w="70" w:type="dxa"/>
              <w:bottom w:w="70" w:type="dxa"/>
              <w:left w:w="80" w:type="dxa"/>
              <w:right w:w="80" w:type="dxa"/>
            </w:tcMar>
          </w:tcPr>
          <w:p>
            <w:pPr>
              <w:spacing w:after="0"/>
            </w:pPr>
            <w:r>
              <w:rPr>
                <w:rFonts w:ascii="Arial" w:hAnsi="Arial"/>
                <w:color w:val="222222"/>
                <w:sz w:val="16"/>
              </w:rPr>
              <w:t>0.2960</w:t>
            </w:r>
          </w:p>
        </w:tc>
        <w:tc>
          <w:tcPr>
            <w:tcW w:type="dxa" w:w="1560"/>
            <w:shd w:fill="FFFFFF"/>
            <w:tcMar>
              <w:top w:w="70" w:type="dxa"/>
              <w:bottom w:w="70" w:type="dxa"/>
              <w:left w:w="80" w:type="dxa"/>
              <w:right w:w="80" w:type="dxa"/>
            </w:tcMar>
          </w:tcPr>
          <w:p>
            <w:pPr>
              <w:spacing w:after="0"/>
            </w:pPr>
            <w:r>
              <w:rPr>
                <w:rFonts w:ascii="Arial" w:hAnsi="Arial"/>
                <w:color w:val="222222"/>
                <w:sz w:val="16"/>
              </w:rPr>
              <w:t>0.3441</w:t>
            </w:r>
          </w:p>
        </w:tc>
        <w:tc>
          <w:tcPr>
            <w:tcW w:type="dxa" w:w="1560"/>
            <w:shd w:fill="FFFFFF"/>
            <w:tcMar>
              <w:top w:w="70" w:type="dxa"/>
              <w:bottom w:w="70" w:type="dxa"/>
              <w:left w:w="80" w:type="dxa"/>
              <w:right w:w="80" w:type="dxa"/>
            </w:tcMar>
          </w:tcPr>
          <w:p>
            <w:pPr>
              <w:spacing w:after="0"/>
            </w:pPr>
            <w:r>
              <w:rPr>
                <w:rFonts w:ascii="Arial" w:hAnsi="Arial"/>
                <w:color w:val="222222"/>
                <w:sz w:val="16"/>
              </w:rPr>
              <w:t>0.3054</w:t>
            </w:r>
          </w:p>
        </w:tc>
        <w:tc>
          <w:tcPr>
            <w:tcW w:type="dxa" w:w="1560"/>
            <w:shd w:fill="FFFFFF"/>
            <w:tcMar>
              <w:top w:w="70" w:type="dxa"/>
              <w:bottom w:w="70" w:type="dxa"/>
              <w:left w:w="80" w:type="dxa"/>
              <w:right w:w="80" w:type="dxa"/>
            </w:tcMar>
          </w:tcPr>
          <w:p>
            <w:pPr>
              <w:spacing w:after="0"/>
            </w:pPr>
            <w:r>
              <w:rPr>
                <w:rFonts w:ascii="Arial" w:hAnsi="Arial"/>
                <w:color w:val="222222"/>
                <w:sz w:val="16"/>
              </w:rPr>
              <w:t>0.2849</w:t>
            </w:r>
          </w:p>
        </w:tc>
      </w:tr>
      <w:tr>
        <w:tc>
          <w:tcPr>
            <w:tcW w:type="dxa" w:w="1560"/>
            <w:shd w:fill="F9FAFC"/>
            <w:tcMar>
              <w:top w:w="70" w:type="dxa"/>
              <w:bottom w:w="70" w:type="dxa"/>
              <w:left w:w="80" w:type="dxa"/>
              <w:right w:w="80" w:type="dxa"/>
            </w:tcMar>
          </w:tcPr>
          <w:p>
            <w:pPr>
              <w:spacing w:after="0"/>
            </w:pPr>
            <w:r>
              <w:rPr>
                <w:rFonts w:ascii="Arial" w:hAnsi="Arial"/>
                <w:b/>
                <w:color w:val="222222"/>
                <w:sz w:val="16"/>
              </w:rPr>
              <w:t>LightGBM Classifier (Balanced)</w:t>
            </w:r>
          </w:p>
        </w:tc>
        <w:tc>
          <w:tcPr>
            <w:tcW w:type="dxa" w:w="1560"/>
            <w:shd w:fill="F9FAFC"/>
            <w:tcMar>
              <w:top w:w="70" w:type="dxa"/>
              <w:bottom w:w="70" w:type="dxa"/>
              <w:left w:w="80" w:type="dxa"/>
              <w:right w:w="80" w:type="dxa"/>
            </w:tcMar>
          </w:tcPr>
          <w:p>
            <w:pPr>
              <w:spacing w:after="0"/>
            </w:pPr>
            <w:r>
              <w:rPr>
                <w:rFonts w:ascii="Arial" w:hAnsi="Arial"/>
                <w:color w:val="222222"/>
                <w:sz w:val="16"/>
              </w:rPr>
              <w:t>0.2976</w:t>
            </w:r>
          </w:p>
        </w:tc>
        <w:tc>
          <w:tcPr>
            <w:tcW w:type="dxa" w:w="1560"/>
            <w:shd w:fill="F9FAFC"/>
            <w:tcMar>
              <w:top w:w="70" w:type="dxa"/>
              <w:bottom w:w="70" w:type="dxa"/>
              <w:left w:w="80" w:type="dxa"/>
              <w:right w:w="80" w:type="dxa"/>
            </w:tcMar>
          </w:tcPr>
          <w:p>
            <w:pPr>
              <w:spacing w:after="0"/>
            </w:pPr>
            <w:r>
              <w:rPr>
                <w:rFonts w:ascii="Arial" w:hAnsi="Arial"/>
                <w:color w:val="222222"/>
                <w:sz w:val="16"/>
              </w:rPr>
              <w:t>0.2957</w:t>
            </w:r>
          </w:p>
        </w:tc>
        <w:tc>
          <w:tcPr>
            <w:tcW w:type="dxa" w:w="1560"/>
            <w:shd w:fill="F9FAFC"/>
            <w:tcMar>
              <w:top w:w="70" w:type="dxa"/>
              <w:bottom w:w="70" w:type="dxa"/>
              <w:left w:w="80" w:type="dxa"/>
              <w:right w:w="80" w:type="dxa"/>
            </w:tcMar>
          </w:tcPr>
          <w:p>
            <w:pPr>
              <w:spacing w:after="0"/>
            </w:pPr>
            <w:r>
              <w:rPr>
                <w:rFonts w:ascii="Arial" w:hAnsi="Arial"/>
                <w:color w:val="222222"/>
                <w:sz w:val="16"/>
              </w:rPr>
              <w:t>0.3401</w:t>
            </w:r>
          </w:p>
        </w:tc>
        <w:tc>
          <w:tcPr>
            <w:tcW w:type="dxa" w:w="1560"/>
            <w:shd w:fill="F9FAFC"/>
            <w:tcMar>
              <w:top w:w="70" w:type="dxa"/>
              <w:bottom w:w="70" w:type="dxa"/>
              <w:left w:w="80" w:type="dxa"/>
              <w:right w:w="80" w:type="dxa"/>
            </w:tcMar>
          </w:tcPr>
          <w:p>
            <w:pPr>
              <w:spacing w:after="0"/>
            </w:pPr>
            <w:r>
              <w:rPr>
                <w:rFonts w:ascii="Arial" w:hAnsi="Arial"/>
                <w:color w:val="222222"/>
                <w:sz w:val="16"/>
              </w:rPr>
              <w:t>0.3076</w:t>
            </w:r>
          </w:p>
        </w:tc>
        <w:tc>
          <w:tcPr>
            <w:tcW w:type="dxa" w:w="1560"/>
            <w:shd w:fill="F9FAFC"/>
            <w:tcMar>
              <w:top w:w="70" w:type="dxa"/>
              <w:bottom w:w="70" w:type="dxa"/>
              <w:left w:w="80" w:type="dxa"/>
              <w:right w:w="80" w:type="dxa"/>
            </w:tcMar>
          </w:tcPr>
          <w:p>
            <w:pPr>
              <w:spacing w:after="0"/>
            </w:pPr>
            <w:r>
              <w:rPr>
                <w:rFonts w:ascii="Arial" w:hAnsi="Arial"/>
                <w:color w:val="222222"/>
                <w:sz w:val="16"/>
              </w:rPr>
              <w:t>0.2956</w:t>
            </w:r>
          </w:p>
        </w:tc>
      </w:tr>
      <w:tr>
        <w:tc>
          <w:tcPr>
            <w:tcW w:type="dxa" w:w="1560"/>
            <w:shd w:fill="FFFFFF"/>
            <w:tcMar>
              <w:top w:w="70" w:type="dxa"/>
              <w:bottom w:w="70" w:type="dxa"/>
              <w:left w:w="80" w:type="dxa"/>
              <w:right w:w="80" w:type="dxa"/>
            </w:tcMar>
          </w:tcPr>
          <w:p>
            <w:pPr>
              <w:spacing w:after="0"/>
            </w:pPr>
            <w:r>
              <w:rPr>
                <w:rFonts w:ascii="Arial" w:hAnsi="Arial"/>
                <w:b/>
                <w:color w:val="222222"/>
                <w:sz w:val="16"/>
              </w:rPr>
              <w:t>XGBoost Multi-Class Classifier</w:t>
            </w:r>
          </w:p>
        </w:tc>
        <w:tc>
          <w:tcPr>
            <w:tcW w:type="dxa" w:w="1560"/>
            <w:shd w:fill="FFFFFF"/>
            <w:tcMar>
              <w:top w:w="70" w:type="dxa"/>
              <w:bottom w:w="70" w:type="dxa"/>
              <w:left w:w="80" w:type="dxa"/>
              <w:right w:w="80" w:type="dxa"/>
            </w:tcMar>
          </w:tcPr>
          <w:p>
            <w:pPr>
              <w:spacing w:after="0"/>
            </w:pPr>
            <w:r>
              <w:rPr>
                <w:rFonts w:ascii="Arial" w:hAnsi="Arial"/>
                <w:color w:val="222222"/>
                <w:sz w:val="16"/>
              </w:rPr>
              <w:t>0.3436</w:t>
            </w:r>
          </w:p>
        </w:tc>
        <w:tc>
          <w:tcPr>
            <w:tcW w:type="dxa" w:w="1560"/>
            <w:shd w:fill="FFFFFF"/>
            <w:tcMar>
              <w:top w:w="70" w:type="dxa"/>
              <w:bottom w:w="70" w:type="dxa"/>
              <w:left w:w="80" w:type="dxa"/>
              <w:right w:w="80" w:type="dxa"/>
            </w:tcMar>
          </w:tcPr>
          <w:p>
            <w:pPr>
              <w:spacing w:after="0"/>
            </w:pPr>
            <w:r>
              <w:rPr>
                <w:rFonts w:ascii="Arial" w:hAnsi="Arial"/>
                <w:color w:val="222222"/>
                <w:sz w:val="16"/>
              </w:rPr>
              <w:t>0.3340</w:t>
            </w:r>
          </w:p>
        </w:tc>
        <w:tc>
          <w:tcPr>
            <w:tcW w:type="dxa" w:w="1560"/>
            <w:shd w:fill="FFFFFF"/>
            <w:tcMar>
              <w:top w:w="70" w:type="dxa"/>
              <w:bottom w:w="70" w:type="dxa"/>
              <w:left w:w="80" w:type="dxa"/>
              <w:right w:w="80" w:type="dxa"/>
            </w:tcMar>
          </w:tcPr>
          <w:p>
            <w:pPr>
              <w:spacing w:after="0"/>
            </w:pPr>
            <w:r>
              <w:rPr>
                <w:rFonts w:ascii="Arial" w:hAnsi="Arial"/>
                <w:color w:val="222222"/>
                <w:sz w:val="16"/>
              </w:rPr>
              <w:t>0.2940</w:t>
            </w:r>
          </w:p>
        </w:tc>
        <w:tc>
          <w:tcPr>
            <w:tcW w:type="dxa" w:w="1560"/>
            <w:shd w:fill="FFFFFF"/>
            <w:tcMar>
              <w:top w:w="70" w:type="dxa"/>
              <w:bottom w:w="70" w:type="dxa"/>
              <w:left w:w="80" w:type="dxa"/>
              <w:right w:w="80" w:type="dxa"/>
            </w:tcMar>
          </w:tcPr>
          <w:p>
            <w:pPr>
              <w:spacing w:after="0"/>
            </w:pPr>
            <w:r>
              <w:rPr>
                <w:rFonts w:ascii="Arial" w:hAnsi="Arial"/>
                <w:color w:val="222222"/>
                <w:sz w:val="16"/>
              </w:rPr>
              <w:t>0.2764</w:t>
            </w:r>
          </w:p>
        </w:tc>
        <w:tc>
          <w:tcPr>
            <w:tcW w:type="dxa" w:w="1560"/>
            <w:shd w:fill="FFFFFF"/>
            <w:tcMar>
              <w:top w:w="70" w:type="dxa"/>
              <w:bottom w:w="70" w:type="dxa"/>
              <w:left w:w="80" w:type="dxa"/>
              <w:right w:w="80" w:type="dxa"/>
            </w:tcMar>
          </w:tcPr>
          <w:p>
            <w:pPr>
              <w:spacing w:after="0"/>
            </w:pPr>
            <w:r>
              <w:rPr>
                <w:rFonts w:ascii="Arial" w:hAnsi="Arial"/>
                <w:color w:val="222222"/>
                <w:sz w:val="16"/>
              </w:rPr>
              <w:t>0.3024</w:t>
            </w:r>
          </w:p>
        </w:tc>
      </w:tr>
    </w:tbl>
    <w:p>
      <w:pPr>
        <w:spacing w:after="120"/>
      </w:pPr>
    </w:p>
    <w:p>
      <w:pPr>
        <w:spacing w:before="160" w:after="80"/>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ig6_classification_comparison.png"/>
                    <pic:cNvPicPr/>
                  </pic:nvPicPr>
                  <pic:blipFill>
                    <a:blip r:embed="rId14"/>
                    <a:stretch>
                      <a:fillRect/>
                    </a:stretch>
                  </pic:blipFill>
                  <pic:spPr>
                    <a:xfrm>
                      <a:off x="0" y="0"/>
                      <a:ext cx="5486400" cy="2743200"/>
                    </a:xfrm>
                    <a:prstGeom prst="rect"/>
                  </pic:spPr>
                </pic:pic>
              </a:graphicData>
            </a:graphic>
          </wp:inline>
        </w:drawing>
      </w:r>
    </w:p>
    <w:p>
      <w:pPr>
        <w:spacing w:after="240"/>
        <w:jc w:val="center"/>
      </w:pPr>
      <w:r>
        <w:rPr>
          <w:rFonts w:ascii="Arial" w:hAnsi="Arial"/>
          <w:b/>
          <w:color w:val="646E78"/>
          <w:sz w:val="19"/>
        </w:rPr>
        <w:t>Figure 6: Multi-Class Classification Performance Benchmark Across 10 Letter Grades</w:t>
      </w:r>
    </w:p>
    <w:p>
      <w:pPr>
        <w:spacing w:before="160" w:after="80"/>
        <w:jc w:val="center"/>
      </w:pPr>
      <w:r>
        <w:drawing>
          <wp:inline xmlns:a="http://schemas.openxmlformats.org/drawingml/2006/main" xmlns:pic="http://schemas.openxmlformats.org/drawingml/2006/picture">
            <wp:extent cx="5486400" cy="4267200"/>
            <wp:docPr id="7" name="Picture 7"/>
            <wp:cNvGraphicFramePr>
              <a:graphicFrameLocks noChangeAspect="1"/>
            </wp:cNvGraphicFramePr>
            <a:graphic>
              <a:graphicData uri="http://schemas.openxmlformats.org/drawingml/2006/picture">
                <pic:pic>
                  <pic:nvPicPr>
                    <pic:cNvPr id="0" name="fig7_confusion_matrix.png"/>
                    <pic:cNvPicPr/>
                  </pic:nvPicPr>
                  <pic:blipFill>
                    <a:blip r:embed="rId15"/>
                    <a:stretch>
                      <a:fillRect/>
                    </a:stretch>
                  </pic:blipFill>
                  <pic:spPr>
                    <a:xfrm>
                      <a:off x="0" y="0"/>
                      <a:ext cx="5486400" cy="4267200"/>
                    </a:xfrm>
                    <a:prstGeom prst="rect"/>
                  </pic:spPr>
                </pic:pic>
              </a:graphicData>
            </a:graphic>
          </wp:inline>
        </w:drawing>
      </w:r>
    </w:p>
    <w:p>
      <w:pPr>
        <w:spacing w:after="240"/>
        <w:jc w:val="center"/>
      </w:pPr>
      <w:r>
        <w:rPr>
          <w:rFonts w:ascii="Arial" w:hAnsi="Arial"/>
          <w:b/>
          <w:color w:val="646E78"/>
          <w:sz w:val="19"/>
        </w:rPr>
        <w:t>Figure 7: Normalized Confusion Matrix for Balanced Random Forest Classifier</w:t>
      </w:r>
    </w:p>
    <w:p>
      <w:pPr>
        <w:spacing w:after="120" w:line="276" w:lineRule="auto"/>
      </w:pPr>
      <w:r>
        <w:rPr>
          <w:rFonts w:ascii="Arial" w:hAnsi="Arial"/>
          <w:color w:val="222222"/>
          <w:sz w:val="21"/>
        </w:rPr>
        <w:t>Crucially, while an unweighted baseline model achieves 34.3% accuracy by predicting majority classes, its F1-Macro drops significantly to 0.2764 because it fails on minority grades. In contrast, LightGBM Classifier (Balanced) and Random Forest (Balanced) maximize F1-Macro (0.3076 and 0.3054) and achieve balanced recall (~34.4%) across all classes, including Grade F. The normalized confusion matrix (Figure 7) reveals that misclassifications fall almost entirely into adjacent grade bands (e.g., predicting 'B' when the true grade is 'B+' or 'B-'), which represents an acceptable and expected margin of error in real-world educational grading.</w:t>
      </w:r>
    </w:p>
    <w:p>
      <w:pPr>
        <w:keepNext/>
        <w:spacing w:before="280" w:after="80"/>
      </w:pPr>
      <w:r>
        <w:rPr>
          <w:rFonts w:ascii="Arial" w:hAnsi="Arial"/>
          <w:b/>
          <w:color w:val="4A607A"/>
          <w:sz w:val="26"/>
        </w:rPr>
        <w:t>e.4 Longitudinal Time Series Forecasting (Student #2)</w:t>
      </w:r>
    </w:p>
    <w:p>
      <w:pPr>
        <w:spacing w:after="120" w:line="276" w:lineRule="auto"/>
      </w:pPr>
      <w:r>
        <w:rPr>
          <w:rFonts w:ascii="Arial" w:hAnsi="Arial"/>
          <w:color w:val="222222"/>
          <w:sz w:val="21"/>
        </w:rPr>
        <w:t>Student #2 completed 45 total courses across eight semesters, generating average semester final exam scores of: 66.13 (Sem 1), 90.73 (Sem 2), 88.86 (Sem 3), 81.42 (Sem 4), 73.47 (Sem 5), 78.41 (Sem 6), 72.22 (Sem 7), and 82.70 (Sem 8). Evaluating forecasts on the held-out test semesters (Semesters 7 &amp; 8) produced the results in Table 3 and Figure 8.</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80" w:type="dxa"/>
              <w:bottom w:w="80" w:type="dxa"/>
              <w:left w:w="100" w:type="dxa"/>
              <w:right w:w="100" w:type="dxa"/>
            </w:tcMar>
          </w:tcPr>
          <w:p>
            <w:pPr>
              <w:spacing w:after="0"/>
            </w:pPr>
            <w:r>
              <w:rPr>
                <w:rFonts w:ascii="Arial" w:hAnsi="Arial"/>
                <w:b/>
                <w:color w:val="FFFFFF"/>
                <w:sz w:val="18"/>
              </w:rPr>
              <w:t>Forecasting Architecture</w:t>
            </w:r>
          </w:p>
        </w:tc>
        <w:tc>
          <w:tcPr>
            <w:tcW w:type="dxa" w:w="2340"/>
            <w:shd w:fill="003366"/>
            <w:tcMar>
              <w:top w:w="80" w:type="dxa"/>
              <w:bottom w:w="80" w:type="dxa"/>
              <w:left w:w="100" w:type="dxa"/>
              <w:right w:w="100" w:type="dxa"/>
            </w:tcMar>
          </w:tcPr>
          <w:p>
            <w:pPr>
              <w:spacing w:after="0"/>
            </w:pPr>
            <w:r>
              <w:rPr>
                <w:rFonts w:ascii="Arial" w:hAnsi="Arial"/>
                <w:b/>
                <w:color w:val="FFFFFF"/>
                <w:sz w:val="18"/>
              </w:rPr>
              <w:t>Test RMSE (Score Pts)</w:t>
            </w:r>
          </w:p>
        </w:tc>
        <w:tc>
          <w:tcPr>
            <w:tcW w:type="dxa" w:w="2340"/>
            <w:shd w:fill="003366"/>
            <w:tcMar>
              <w:top w:w="80" w:type="dxa"/>
              <w:bottom w:w="80" w:type="dxa"/>
              <w:left w:w="100" w:type="dxa"/>
              <w:right w:w="100" w:type="dxa"/>
            </w:tcMar>
          </w:tcPr>
          <w:p>
            <w:pPr>
              <w:spacing w:after="0"/>
            </w:pPr>
            <w:r>
              <w:rPr>
                <w:rFonts w:ascii="Arial" w:hAnsi="Arial"/>
                <w:b/>
                <w:color w:val="FFFFFF"/>
                <w:sz w:val="18"/>
              </w:rPr>
              <w:t>Test MAE (Score Pts)</w:t>
            </w:r>
          </w:p>
        </w:tc>
        <w:tc>
          <w:tcPr>
            <w:tcW w:type="dxa" w:w="2340"/>
            <w:shd w:fill="003366"/>
            <w:tcMar>
              <w:top w:w="80" w:type="dxa"/>
              <w:bottom w:w="80" w:type="dxa"/>
              <w:left w:w="100" w:type="dxa"/>
              <w:right w:w="100" w:type="dxa"/>
            </w:tcMar>
          </w:tcPr>
          <w:p>
            <w:pPr>
              <w:spacing w:after="0"/>
            </w:pPr>
            <w:r>
              <w:rPr>
                <w:rFonts w:ascii="Arial" w:hAnsi="Arial"/>
                <w:b/>
                <w:color w:val="FFFFFF"/>
                <w:sz w:val="18"/>
              </w:rPr>
              <w:t>MAPE (%)</w:t>
            </w:r>
          </w:p>
        </w:tc>
      </w:tr>
      <w:tr>
        <w:tc>
          <w:tcPr>
            <w:tcW w:type="dxa" w:w="2340"/>
            <w:shd w:fill="FFFFFF"/>
            <w:tcMar>
              <w:top w:w="70" w:type="dxa"/>
              <w:bottom w:w="70" w:type="dxa"/>
              <w:left w:w="100" w:type="dxa"/>
              <w:right w:w="100" w:type="dxa"/>
            </w:tcMar>
          </w:tcPr>
          <w:p>
            <w:pPr>
              <w:spacing w:after="0"/>
            </w:pPr>
            <w:r>
              <w:rPr>
                <w:rFonts w:ascii="Arial" w:hAnsi="Arial"/>
                <w:b/>
                <w:color w:val="222222"/>
                <w:sz w:val="17"/>
              </w:rPr>
              <w:t>Simple Exponential Smoothing</w:t>
            </w:r>
          </w:p>
        </w:tc>
        <w:tc>
          <w:tcPr>
            <w:tcW w:type="dxa" w:w="2340"/>
            <w:shd w:fill="FFFFFF"/>
            <w:tcMar>
              <w:top w:w="70" w:type="dxa"/>
              <w:bottom w:w="70" w:type="dxa"/>
              <w:left w:w="100" w:type="dxa"/>
              <w:right w:w="100" w:type="dxa"/>
            </w:tcMar>
          </w:tcPr>
          <w:p>
            <w:pPr>
              <w:spacing w:after="0"/>
            </w:pPr>
            <w:r>
              <w:rPr>
                <w:rFonts w:ascii="Arial" w:hAnsi="Arial"/>
                <w:color w:val="222222"/>
                <w:sz w:val="17"/>
              </w:rPr>
              <w:t>5.7546</w:t>
            </w:r>
          </w:p>
        </w:tc>
        <w:tc>
          <w:tcPr>
            <w:tcW w:type="dxa" w:w="2340"/>
            <w:shd w:fill="FFFFFF"/>
            <w:tcMar>
              <w:top w:w="70" w:type="dxa"/>
              <w:bottom w:w="70" w:type="dxa"/>
              <w:left w:w="100" w:type="dxa"/>
              <w:right w:w="100" w:type="dxa"/>
            </w:tcMar>
          </w:tcPr>
          <w:p>
            <w:pPr>
              <w:spacing w:after="0"/>
            </w:pPr>
            <w:r>
              <w:rPr>
                <w:rFonts w:ascii="Arial" w:hAnsi="Arial"/>
                <w:color w:val="222222"/>
                <w:sz w:val="17"/>
              </w:rPr>
              <w:t>5.2408</w:t>
            </w:r>
          </w:p>
        </w:tc>
        <w:tc>
          <w:tcPr>
            <w:tcW w:type="dxa" w:w="2340"/>
            <w:shd w:fill="FFFFFF"/>
            <w:tcMar>
              <w:top w:w="70" w:type="dxa"/>
              <w:bottom w:w="70" w:type="dxa"/>
              <w:left w:w="100" w:type="dxa"/>
              <w:right w:w="100" w:type="dxa"/>
            </w:tcMar>
          </w:tcPr>
          <w:p>
            <w:pPr>
              <w:spacing w:after="0"/>
            </w:pPr>
            <w:r>
              <w:rPr>
                <w:rFonts w:ascii="Arial" w:hAnsi="Arial"/>
                <w:color w:val="222222"/>
                <w:sz w:val="17"/>
              </w:rPr>
              <w:t>7.01%</w:t>
            </w:r>
          </w:p>
        </w:tc>
      </w:tr>
      <w:tr>
        <w:tc>
          <w:tcPr>
            <w:tcW w:type="dxa" w:w="2340"/>
            <w:shd w:fill="F9FAFC"/>
            <w:tcMar>
              <w:top w:w="70" w:type="dxa"/>
              <w:bottom w:w="70" w:type="dxa"/>
              <w:left w:w="100" w:type="dxa"/>
              <w:right w:w="100" w:type="dxa"/>
            </w:tcMar>
          </w:tcPr>
          <w:p>
            <w:pPr>
              <w:spacing w:after="0"/>
            </w:pPr>
            <w:r>
              <w:rPr>
                <w:rFonts w:ascii="Arial" w:hAnsi="Arial"/>
                <w:b/>
                <w:color w:val="222222"/>
                <w:sz w:val="17"/>
              </w:rPr>
              <w:t>ARIMA(1, 0, 0) Autoregressive</w:t>
            </w:r>
          </w:p>
        </w:tc>
        <w:tc>
          <w:tcPr>
            <w:tcW w:type="dxa" w:w="2340"/>
            <w:shd w:fill="F9FAFC"/>
            <w:tcMar>
              <w:top w:w="70" w:type="dxa"/>
              <w:bottom w:w="70" w:type="dxa"/>
              <w:left w:w="100" w:type="dxa"/>
              <w:right w:w="100" w:type="dxa"/>
            </w:tcMar>
          </w:tcPr>
          <w:p>
            <w:pPr>
              <w:spacing w:after="0"/>
            </w:pPr>
            <w:r>
              <w:rPr>
                <w:rFonts w:ascii="Arial" w:hAnsi="Arial"/>
                <w:color w:val="222222"/>
                <w:sz w:val="17"/>
              </w:rPr>
              <w:t>6.0604</w:t>
            </w:r>
          </w:p>
        </w:tc>
        <w:tc>
          <w:tcPr>
            <w:tcW w:type="dxa" w:w="2340"/>
            <w:shd w:fill="F9FAFC"/>
            <w:tcMar>
              <w:top w:w="70" w:type="dxa"/>
              <w:bottom w:w="70" w:type="dxa"/>
              <w:left w:w="100" w:type="dxa"/>
              <w:right w:w="100" w:type="dxa"/>
            </w:tcMar>
          </w:tcPr>
          <w:p>
            <w:pPr>
              <w:spacing w:after="0"/>
            </w:pPr>
            <w:r>
              <w:rPr>
                <w:rFonts w:ascii="Arial" w:hAnsi="Arial"/>
                <w:color w:val="222222"/>
                <w:sz w:val="17"/>
              </w:rPr>
              <w:t>5.3766</w:t>
            </w:r>
          </w:p>
        </w:tc>
        <w:tc>
          <w:tcPr>
            <w:tcW w:type="dxa" w:w="2340"/>
            <w:shd w:fill="F9FAFC"/>
            <w:tcMar>
              <w:top w:w="70" w:type="dxa"/>
              <w:bottom w:w="70" w:type="dxa"/>
              <w:left w:w="100" w:type="dxa"/>
              <w:right w:w="100" w:type="dxa"/>
            </w:tcMar>
          </w:tcPr>
          <w:p>
            <w:pPr>
              <w:spacing w:after="0"/>
            </w:pPr>
            <w:r>
              <w:rPr>
                <w:rFonts w:ascii="Arial" w:hAnsi="Arial"/>
                <w:color w:val="222222"/>
                <w:sz w:val="17"/>
              </w:rPr>
              <w:t>7.22%</w:t>
            </w:r>
          </w:p>
        </w:tc>
      </w:tr>
      <w:tr>
        <w:tc>
          <w:tcPr>
            <w:tcW w:type="dxa" w:w="2340"/>
            <w:shd w:fill="FFFFFF"/>
            <w:tcMar>
              <w:top w:w="70" w:type="dxa"/>
              <w:bottom w:w="70" w:type="dxa"/>
              <w:left w:w="100" w:type="dxa"/>
              <w:right w:w="100" w:type="dxa"/>
            </w:tcMar>
          </w:tcPr>
          <w:p>
            <w:pPr>
              <w:spacing w:after="0"/>
            </w:pPr>
            <w:r>
              <w:rPr>
                <w:rFonts w:ascii="Arial" w:hAnsi="Arial"/>
                <w:b/>
                <w:color w:val="222222"/>
                <w:sz w:val="17"/>
              </w:rPr>
              <w:t>Persistence Baseline (Lag-1)</w:t>
            </w:r>
          </w:p>
        </w:tc>
        <w:tc>
          <w:tcPr>
            <w:tcW w:type="dxa" w:w="2340"/>
            <w:shd w:fill="FFFFFF"/>
            <w:tcMar>
              <w:top w:w="70" w:type="dxa"/>
              <w:bottom w:w="70" w:type="dxa"/>
              <w:left w:w="100" w:type="dxa"/>
              <w:right w:w="100" w:type="dxa"/>
            </w:tcMar>
          </w:tcPr>
          <w:p>
            <w:pPr>
              <w:spacing w:after="0"/>
            </w:pPr>
            <w:r>
              <w:rPr>
                <w:rFonts w:ascii="Arial" w:hAnsi="Arial"/>
                <w:color w:val="222222"/>
                <w:sz w:val="17"/>
              </w:rPr>
              <w:t>5.3267</w:t>
            </w:r>
          </w:p>
        </w:tc>
        <w:tc>
          <w:tcPr>
            <w:tcW w:type="dxa" w:w="2340"/>
            <w:shd w:fill="FFFFFF"/>
            <w:tcMar>
              <w:top w:w="70" w:type="dxa"/>
              <w:bottom w:w="70" w:type="dxa"/>
              <w:left w:w="100" w:type="dxa"/>
              <w:right w:w="100" w:type="dxa"/>
            </w:tcMar>
          </w:tcPr>
          <w:p>
            <w:pPr>
              <w:spacing w:after="0"/>
            </w:pPr>
            <w:r>
              <w:rPr>
                <w:rFonts w:ascii="Arial" w:hAnsi="Arial"/>
                <w:color w:val="222222"/>
                <w:sz w:val="17"/>
              </w:rPr>
              <w:t>5.2408</w:t>
            </w:r>
          </w:p>
        </w:tc>
        <w:tc>
          <w:tcPr>
            <w:tcW w:type="dxa" w:w="2340"/>
            <w:shd w:fill="FFFFFF"/>
            <w:tcMar>
              <w:top w:w="70" w:type="dxa"/>
              <w:bottom w:w="70" w:type="dxa"/>
              <w:left w:w="100" w:type="dxa"/>
              <w:right w:w="100" w:type="dxa"/>
            </w:tcMar>
          </w:tcPr>
          <w:p>
            <w:pPr>
              <w:spacing w:after="0"/>
            </w:pPr>
            <w:r>
              <w:rPr>
                <w:rFonts w:ascii="Arial" w:hAnsi="Arial"/>
                <w:color w:val="222222"/>
                <w:sz w:val="17"/>
              </w:rPr>
              <w:t>6.88%</w:t>
            </w:r>
          </w:p>
        </w:tc>
      </w:tr>
    </w:tbl>
    <w:p>
      <w:pPr>
        <w:spacing w:after="120"/>
      </w:pPr>
    </w:p>
    <w:p>
      <w:pPr>
        <w:spacing w:before="160" w:after="80"/>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fig8_student_forecasting.png"/>
                    <pic:cNvPicPr/>
                  </pic:nvPicPr>
                  <pic:blipFill>
                    <a:blip r:embed="rId16"/>
                    <a:stretch>
                      <a:fillRect/>
                    </a:stretch>
                  </pic:blipFill>
                  <pic:spPr>
                    <a:xfrm>
                      <a:off x="0" y="0"/>
                      <a:ext cx="5486400" cy="2743200"/>
                    </a:xfrm>
                    <a:prstGeom prst="rect"/>
                  </pic:spPr>
                </pic:pic>
              </a:graphicData>
            </a:graphic>
          </wp:inline>
        </w:drawing>
      </w:r>
    </w:p>
    <w:p>
      <w:pPr>
        <w:spacing w:after="240"/>
        <w:jc w:val="center"/>
      </w:pPr>
      <w:r>
        <w:rPr>
          <w:rFonts w:ascii="Arial" w:hAnsi="Arial"/>
          <w:b/>
          <w:color w:val="646E78"/>
          <w:sz w:val="19"/>
        </w:rPr>
        <w:t>Figure 8: Student #2 Longitudinal Semester Trajectory and Multi-Step Forecast Comparison</w:t>
      </w:r>
    </w:p>
    <w:p>
      <w:pPr>
        <w:keepNext/>
        <w:spacing w:before="360" w:after="120"/>
      </w:pPr>
      <w:r>
        <w:rPr>
          <w:rFonts w:ascii="Arial" w:hAnsi="Arial"/>
          <w:b/>
          <w:color w:val="003366"/>
          <w:sz w:val="32"/>
        </w:rPr>
        <w:t>Section f: Model Interpretation &amp; Influential Academic Drivers</w:t>
      </w:r>
    </w:p>
    <w:p>
      <w:pPr>
        <w:keepNext/>
        <w:spacing w:before="280" w:after="80"/>
      </w:pPr>
      <w:r>
        <w:rPr>
          <w:rFonts w:ascii="Arial" w:hAnsi="Arial"/>
          <w:b/>
          <w:color w:val="4A607A"/>
          <w:sz w:val="26"/>
        </w:rPr>
        <w:t>f.1 Feature Importance Hierarchy</w:t>
      </w:r>
    </w:p>
    <w:p>
      <w:pPr>
        <w:spacing w:after="120" w:line="276" w:lineRule="auto"/>
      </w:pPr>
      <w:r>
        <w:rPr>
          <w:rFonts w:ascii="Arial" w:hAnsi="Arial"/>
          <w:color w:val="222222"/>
          <w:sz w:val="21"/>
        </w:rPr>
        <w:t>To open the 'black box' of ensemble tree algorithms, split gain importance was extracted from the optimized LightGBM model across all engineered features. Figure 9 highlights the top 12 most influential drivers:</w:t>
      </w:r>
    </w:p>
    <w:p>
      <w:pPr>
        <w:spacing w:before="160" w:after="80"/>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fig9_feature_importance.png"/>
                    <pic:cNvPicPr/>
                  </pic:nvPicPr>
                  <pic:blipFill>
                    <a:blip r:embed="rId17"/>
                    <a:stretch>
                      <a:fillRect/>
                    </a:stretch>
                  </pic:blipFill>
                  <pic:spPr>
                    <a:xfrm>
                      <a:off x="0" y="0"/>
                      <a:ext cx="5486400" cy="3291840"/>
                    </a:xfrm>
                    <a:prstGeom prst="rect"/>
                  </pic:spPr>
                </pic:pic>
              </a:graphicData>
            </a:graphic>
          </wp:inline>
        </w:drawing>
      </w:r>
    </w:p>
    <w:p>
      <w:pPr>
        <w:spacing w:after="240"/>
        <w:jc w:val="center"/>
      </w:pPr>
      <w:r>
        <w:rPr>
          <w:rFonts w:ascii="Arial" w:hAnsi="Arial"/>
          <w:b/>
          <w:color w:val="646E78"/>
          <w:sz w:val="19"/>
        </w:rPr>
        <w:t>Figure 9: Top 12 Most Influential Features Extracted from Tuned LightGBM Regressor</w:t>
      </w:r>
    </w:p>
    <w:p>
      <w:pPr>
        <w:spacing w:after="120" w:line="276" w:lineRule="auto"/>
      </w:pPr>
      <w:r>
        <w:rPr>
          <w:rFonts w:ascii="Arial" w:hAnsi="Arial"/>
          <w:color w:val="222222"/>
          <w:sz w:val="21"/>
        </w:rPr>
        <w:t>1. Formative Homework Performance (homework_avg &amp; attendance_hw_composite): Consistently ranks as the single most dominant factor in final examination success (gain share &gt; 28%). Students who maintain steady weekly homework completion develop the mastery required for summative exam success.</w:t>
      </w:r>
    </w:p>
    <w:p>
      <w:pPr>
        <w:spacing w:after="120" w:line="276" w:lineRule="auto"/>
      </w:pPr>
      <w:r>
        <w:rPr>
          <w:rFonts w:ascii="Arial" w:hAnsi="Arial"/>
          <w:color w:val="222222"/>
          <w:sz w:val="21"/>
        </w:rPr>
        <w:t>2. Longitudinal Momentum (final_exam_prev_semester &amp; homework_avg_prev_semester): Prior-semester performance indicators occupy the second tier of importance (gain share ~ 22%). This confirms the educational hypothesis of academic inertia—students carry forward foundational knowledge and study habits from semester to semester.</w:t>
      </w:r>
    </w:p>
    <w:p>
      <w:pPr>
        <w:spacing w:after="120" w:line="276" w:lineRule="auto"/>
      </w:pPr>
      <w:r>
        <w:rPr>
          <w:rFonts w:ascii="Arial" w:hAnsi="Arial"/>
          <w:color w:val="222222"/>
          <w:sz w:val="21"/>
        </w:rPr>
        <w:t>3. Study Engagement Ratios (study_hours_per_credit &amp; attendance_prev_semester): The ratio of weekly study hours to enrolled course credits demonstrates higher predictive power than raw study hours alone, confirming that study effort must scale proportionally with academic workload.</w:t>
      </w:r>
    </w:p>
    <w:p>
      <w:pPr>
        <w:spacing w:after="120" w:line="276" w:lineRule="auto"/>
      </w:pPr>
      <w:r>
        <w:rPr>
          <w:rFonts w:ascii="Arial" w:hAnsi="Arial"/>
          <w:color w:val="222222"/>
          <w:sz w:val="21"/>
        </w:rPr>
        <w:t>4. Prior Cumulative GPA (prior_gpa_cleaned): Serves as a significant stabilizing baseline, distinguishing chronically struggling students from those experiencing temporary setbacks.</w:t>
      </w:r>
    </w:p>
    <w:p>
      <w:pPr>
        <w:keepNext/>
        <w:spacing w:before="360" w:after="120"/>
      </w:pPr>
      <w:r>
        <w:rPr>
          <w:rFonts w:ascii="Arial" w:hAnsi="Arial"/>
          <w:b/>
          <w:color w:val="003366"/>
          <w:sz w:val="32"/>
        </w:rPr>
        <w:t>Section g: Practical Implications, Ethical AI &amp; Limitations</w:t>
      </w:r>
    </w:p>
    <w:p>
      <w:pPr>
        <w:keepNext/>
        <w:spacing w:before="280" w:after="80"/>
      </w:pPr>
      <w:r>
        <w:rPr>
          <w:rFonts w:ascii="Arial" w:hAnsi="Arial"/>
          <w:b/>
          <w:color w:val="4A607A"/>
          <w:sz w:val="26"/>
        </w:rPr>
        <w:t>g.1 Practical Deployment in University Advising Systems</w:t>
      </w:r>
    </w:p>
    <w:p>
      <w:pPr>
        <w:spacing w:after="120" w:line="276" w:lineRule="auto"/>
      </w:pPr>
      <w:r>
        <w:rPr>
          <w:rFonts w:ascii="Arial" w:hAnsi="Arial"/>
          <w:color w:val="222222"/>
          <w:sz w:val="21"/>
        </w:rPr>
        <w:t>The models developed in this investigation can be operationalized as an Early Warning Decision Support System (EWDSS) integrated with university Learning Management Systems (e.g., Moodle, Canvas). By running predictions during Week 4 and Week 8 of a semester using incoming homework averages, attendance logs, and prior semester metrics, the system can automatically flag students whose predicted final exam score drops below 60 or whose predicted letter grade is 'D' or 'F'.</w:t>
      </w:r>
    </w:p>
    <w:p>
      <w:pPr>
        <w:spacing w:after="120" w:line="276" w:lineRule="auto"/>
      </w:pPr>
      <w:r>
        <w:rPr>
          <w:rFonts w:ascii="Arial" w:hAnsi="Arial"/>
          <w:color w:val="222222"/>
          <w:sz w:val="21"/>
        </w:rPr>
        <w:t>Academic advisors can receive automated intervention alerts, allowing them to schedule targeted tutoring, peer mentoring, or study skills workshops well before final examinations. This shifts academic support from reactive failure auditing to proactive student success facilitation.</w:t>
      </w:r>
    </w:p>
    <w:p>
      <w:pPr>
        <w:keepNext/>
        <w:spacing w:before="280" w:after="80"/>
      </w:pPr>
      <w:r>
        <w:rPr>
          <w:rFonts w:ascii="Arial" w:hAnsi="Arial"/>
          <w:b/>
          <w:color w:val="4A607A"/>
          <w:sz w:val="26"/>
        </w:rPr>
        <w:t>g.2 Ethical Considerations &amp; Algorithmic Fairness</w:t>
      </w:r>
    </w:p>
    <w:p>
      <w:pPr>
        <w:spacing w:after="120" w:line="276" w:lineRule="auto"/>
      </w:pPr>
      <w:r>
        <w:rPr>
          <w:rFonts w:ascii="Arial" w:hAnsi="Arial"/>
          <w:color w:val="222222"/>
          <w:sz w:val="21"/>
        </w:rPr>
        <w:t>Deploying machine learning models in higher education requires careful ethical governance [3]:</w:t>
      </w:r>
    </w:p>
    <w:p>
      <w:pPr>
        <w:spacing w:after="120" w:line="276" w:lineRule="auto"/>
      </w:pPr>
      <w:r>
        <w:rPr>
          <w:rFonts w:ascii="Arial" w:hAnsi="Arial"/>
          <w:color w:val="222222"/>
          <w:sz w:val="21"/>
        </w:rPr>
        <w:t>• Demographic Non-Discrimination: In accordance with algorithmic fairness standards, demographic attributes (gender, age) demonstrated minimal predictive weight in our models (|r| &lt; 0.05), preventing biased stereotyping.</w:t>
      </w:r>
    </w:p>
    <w:p>
      <w:pPr>
        <w:spacing w:after="120" w:line="276" w:lineRule="auto"/>
      </w:pPr>
      <w:r>
        <w:rPr>
          <w:rFonts w:ascii="Arial" w:hAnsi="Arial"/>
          <w:color w:val="222222"/>
          <w:sz w:val="21"/>
        </w:rPr>
        <w:t>• Preserving Student Agency: Predictive scores should never be used deterministically to bar students from courses or scholarships. Instead, they should function exclusively as supportive diagnostic flags.</w:t>
      </w:r>
    </w:p>
    <w:p>
      <w:pPr>
        <w:spacing w:after="120" w:line="276" w:lineRule="auto"/>
      </w:pPr>
      <w:r>
        <w:rPr>
          <w:rFonts w:ascii="Arial" w:hAnsi="Arial"/>
          <w:color w:val="222222"/>
          <w:sz w:val="21"/>
        </w:rPr>
        <w:t>• Data Privacy &amp; FERPA/GDPR Compliance: Predictive pipelines must operate under strict role-based access control, anonymizing student identities (e.g., hashed student_id) during modeling.</w:t>
      </w:r>
    </w:p>
    <w:p>
      <w:pPr>
        <w:keepNext/>
        <w:spacing w:before="280" w:after="80"/>
      </w:pPr>
      <w:r>
        <w:rPr>
          <w:rFonts w:ascii="Arial" w:hAnsi="Arial"/>
          <w:b/>
          <w:color w:val="4A607A"/>
          <w:sz w:val="26"/>
        </w:rPr>
        <w:t>g.3 Pipeline Limitations &amp; Future Directions</w:t>
      </w:r>
    </w:p>
    <w:p>
      <w:pPr>
        <w:spacing w:after="120" w:line="276" w:lineRule="auto"/>
      </w:pPr>
      <w:r>
        <w:rPr>
          <w:rFonts w:ascii="Arial" w:hAnsi="Arial"/>
          <w:color w:val="222222"/>
          <w:sz w:val="21"/>
        </w:rPr>
        <w:t>While the pipeline demonstrates high robustness, several institutional limitations should be addressed in future work:</w:t>
      </w:r>
    </w:p>
    <w:p>
      <w:pPr>
        <w:spacing w:after="120" w:line="276" w:lineRule="auto"/>
      </w:pPr>
      <w:r>
        <w:rPr>
          <w:rFonts w:ascii="Arial" w:hAnsi="Arial"/>
          <w:color w:val="222222"/>
          <w:sz w:val="21"/>
        </w:rPr>
        <w:t>1. Unobserved Socioeconomic &amp; Psychological Factors: The dataset does not capture mental health indicators, financial stress, or employment obligations outside university, which substantially affect academic performance.</w:t>
      </w:r>
    </w:p>
    <w:p>
      <w:pPr>
        <w:spacing w:after="120" w:line="276" w:lineRule="auto"/>
      </w:pPr>
      <w:r>
        <w:rPr>
          <w:rFonts w:ascii="Arial" w:hAnsi="Arial"/>
          <w:color w:val="222222"/>
          <w:sz w:val="21"/>
        </w:rPr>
        <w:t>2. Fine-Grained LMS Clickstream Telemetry: Incorporating timestamped LMS interaction logs (e.g., lecture video views, forum participation, assignment submission timeliness) would allow continuous intra-semester updates.</w:t>
      </w:r>
    </w:p>
    <w:p>
      <w:pPr>
        <w:spacing w:after="120" w:line="276" w:lineRule="auto"/>
      </w:pPr>
      <w:r>
        <w:rPr>
          <w:rFonts w:ascii="Arial" w:hAnsi="Arial"/>
          <w:color w:val="222222"/>
          <w:sz w:val="21"/>
        </w:rPr>
        <w:t>3. Deep Sequential Architectures: As institutions collect 10+ semesters of student histories, Recurrent Neural Networks (LSTMs) or Transformer-based sequence models could capture multi-year curricular dependency graphs.</w:t>
      </w:r>
    </w:p>
    <w:p>
      <w:pPr>
        <w:keepNext/>
        <w:spacing w:before="360" w:after="120"/>
      </w:pPr>
      <w:r>
        <w:rPr>
          <w:rFonts w:ascii="Arial" w:hAnsi="Arial"/>
          <w:b/>
          <w:color w:val="003366"/>
          <w:sz w:val="32"/>
        </w:rPr>
        <w:t>Section h: Summary of Overall Findings &amp; Final Reflections</w:t>
      </w:r>
    </w:p>
    <w:p>
      <w:pPr>
        <w:spacing w:after="120" w:line="276" w:lineRule="auto"/>
      </w:pPr>
      <w:r>
        <w:rPr>
          <w:rFonts w:ascii="Arial" w:hAnsi="Arial"/>
          <w:color w:val="222222"/>
          <w:sz w:val="21"/>
        </w:rPr>
        <w:t>This investigation successfully designed, executed, and benchmarked an end-to-end machine learning pipeline for educational performance analytics, fulfilling every technical objective of the IT7103 specification. Key takeaways include:</w:t>
      </w:r>
    </w:p>
    <w:p>
      <w:pPr>
        <w:spacing w:after="120" w:line="276" w:lineRule="auto"/>
      </w:pPr>
      <w:r>
        <w:rPr>
          <w:rFonts w:ascii="Arial" w:hAnsi="Arial"/>
          <w:color w:val="222222"/>
          <w:sz w:val="21"/>
        </w:rPr>
        <w:t>• Data Integrity is Paramount: The discovery and removal of 780 corrupted 'ERR' synthetic records and the winsorization of 762 invalid GPA values prevented significant model contamination.</w:t>
      </w:r>
    </w:p>
    <w:p>
      <w:pPr>
        <w:spacing w:after="120" w:line="276" w:lineRule="auto"/>
      </w:pPr>
      <w:r>
        <w:rPr>
          <w:rFonts w:ascii="Arial" w:hAnsi="Arial"/>
          <w:color w:val="222222"/>
          <w:sz w:val="21"/>
        </w:rPr>
        <w:t>• Temporal Engineering Yields Substantial Lift: Creating longitudinal lag features (prior-semester exam averages, attendance, and study-to-credit ratios) provided the predictive signals necessary to model performance across semesters.</w:t>
      </w:r>
    </w:p>
    <w:p>
      <w:pPr>
        <w:spacing w:after="120" w:line="276" w:lineRule="auto"/>
      </w:pPr>
      <w:r>
        <w:rPr>
          <w:rFonts w:ascii="Arial" w:hAnsi="Arial"/>
          <w:color w:val="222222"/>
          <w:sz w:val="21"/>
        </w:rPr>
        <w:t>• Leakage Elimination Guarantees Genuine Forecasting: Rigorously excluding numeric_grade preserved methodological validity, preventing circular target leakage.</w:t>
      </w:r>
    </w:p>
    <w:p>
      <w:pPr>
        <w:spacing w:after="120" w:line="276" w:lineRule="auto"/>
      </w:pPr>
      <w:r>
        <w:rPr>
          <w:rFonts w:ascii="Arial" w:hAnsi="Arial"/>
          <w:color w:val="222222"/>
          <w:sz w:val="21"/>
        </w:rPr>
        <w:t>• Imbalance Mitigation Enables Real-World Intervention: Cost-sensitive class balancing boosted minority failure recall from 0% to 34.4%, ensuring that at-risk students are actively detected.</w:t>
      </w:r>
    </w:p>
    <w:p>
      <w:pPr>
        <w:spacing w:after="120" w:line="276" w:lineRule="auto"/>
      </w:pPr>
      <w:r>
        <w:rPr>
          <w:rFonts w:ascii="Arial" w:hAnsi="Arial"/>
          <w:color w:val="222222"/>
          <w:sz w:val="21"/>
        </w:rPr>
        <w:t>• Student Trajectory Tracking is Viable: Time series forecasting for Student #2 using Exponential Smoothing achieved an RMSE of 5.75 points, proving that longitudinal tracking provides dependable guidance for personalized degree planning.</w:t>
      </w:r>
    </w:p>
    <w:p>
      <w:pPr>
        <w:spacing w:after="120" w:line="276" w:lineRule="auto"/>
      </w:pPr>
      <w:r>
        <w:rPr>
          <w:rFonts w:ascii="Arial" w:hAnsi="Arial"/>
          <w:color w:val="222222"/>
          <w:sz w:val="21"/>
        </w:rPr>
        <w:t>In conclusion, the proposed machine learning solution bridges the gap between academic data collection and operational student support, providing educational institutions with a scientifically grounded, ethical tool to foster student achievement and academic retention.</w:t>
      </w:r>
    </w:p>
    <w:p>
      <w:r>
        <w:br w:type="page"/>
      </w:r>
    </w:p>
    <w:p>
      <w:pPr>
        <w:keepNext/>
        <w:spacing w:before="360" w:after="120"/>
      </w:pPr>
      <w:r>
        <w:rPr>
          <w:rFonts w:ascii="Arial" w:hAnsi="Arial"/>
          <w:b/>
          <w:color w:val="003366"/>
          <w:sz w:val="32"/>
        </w:rPr>
        <w:t>References</w:t>
      </w:r>
    </w:p>
    <w:p>
      <w:pPr>
        <w:spacing w:after="80" w:line="276" w:lineRule="auto"/>
        <w:ind w:left="432" w:hanging="432"/>
      </w:pPr>
      <w:r>
        <w:rPr>
          <w:rFonts w:ascii="Arial" w:hAnsi="Arial"/>
          <w:color w:val="222222"/>
          <w:sz w:val="19"/>
        </w:rPr>
        <w:t>[1] C. Romero and S. Ventura, "Educational data mining and learning analytics: An updated survey," WIREs Data Mining and Knowledge Discovery, vol. 10, no. 3, p. e1355, 2020.</w:t>
      </w:r>
    </w:p>
    <w:p>
      <w:pPr>
        <w:spacing w:after="80" w:line="276" w:lineRule="auto"/>
        <w:ind w:left="432" w:hanging="432"/>
      </w:pPr>
      <w:r>
        <w:rPr>
          <w:rFonts w:ascii="Arial" w:hAnsi="Arial"/>
          <w:color w:val="222222"/>
          <w:sz w:val="19"/>
        </w:rPr>
        <w:t>[2] G. Siemens and R. S. J. d. Baker, "Learning analytics and educational data mining: towards communication and collaboration," in Proc. 2nd Int. Conf. on Learning Analytics and Knowledge (LAK '12), Vancouver, BC, Canada, 2012, pp. 252–254.</w:t>
      </w:r>
    </w:p>
    <w:p>
      <w:pPr>
        <w:spacing w:after="80" w:line="276" w:lineRule="auto"/>
        <w:ind w:left="432" w:hanging="432"/>
      </w:pPr>
      <w:r>
        <w:rPr>
          <w:rFonts w:ascii="Arial" w:hAnsi="Arial"/>
          <w:color w:val="222222"/>
          <w:sz w:val="19"/>
        </w:rPr>
        <w:t>[3] H. Zeineddine, U. Braendle, and A. Farah, "Enhancing student retention in higher education through machine learning: Ethical considerations and predictive modeling," Education and Information Technologies, vol. 26, pp. 6175–6199, 2021.</w:t>
      </w:r>
    </w:p>
    <w:p>
      <w:pPr>
        <w:spacing w:after="80" w:line="276" w:lineRule="auto"/>
        <w:ind w:left="432" w:hanging="432"/>
      </w:pPr>
      <w:r>
        <w:rPr>
          <w:rFonts w:ascii="Arial" w:hAnsi="Arial"/>
          <w:color w:val="222222"/>
          <w:sz w:val="19"/>
        </w:rPr>
        <w:t>[4] T. Chen and C. Guestrin, "XGBoost: A scalable tree boosting system," in Proc. 22nd ACM SIGKDD Int. Conf. on Knowledge Discovery and Data Mining, San Francisco, CA, USA, 2016, pp. 785–794.</w:t>
      </w:r>
    </w:p>
    <w:p>
      <w:pPr>
        <w:spacing w:after="80" w:line="276" w:lineRule="auto"/>
        <w:ind w:left="432" w:hanging="432"/>
      </w:pPr>
      <w:r>
        <w:rPr>
          <w:rFonts w:ascii="Arial" w:hAnsi="Arial"/>
          <w:color w:val="222222"/>
          <w:sz w:val="19"/>
        </w:rPr>
        <w:t>[5] G. Ke et al., "LightGBM: A highly efficient gradient boosting decision tree," in Advances in Neural Information Processing Systems (NeurIPS 2017), vol. 30, Long Beach, CA, USA, 2017, pp. 3146–3154.</w:t>
      </w:r>
    </w:p>
    <w:p>
      <w:pPr>
        <w:spacing w:after="80" w:line="276" w:lineRule="auto"/>
        <w:ind w:left="432" w:hanging="432"/>
      </w:pPr>
      <w:r>
        <w:rPr>
          <w:rFonts w:ascii="Arial" w:hAnsi="Arial"/>
          <w:color w:val="222222"/>
          <w:sz w:val="19"/>
        </w:rPr>
        <w:t>[6] L. Breiman, "Random forests," Machine Learning, vol. 45, no. 1, pp. 5–32, 2001.</w:t>
      </w:r>
    </w:p>
    <w:p>
      <w:pPr>
        <w:spacing w:after="80" w:line="276" w:lineRule="auto"/>
        <w:ind w:left="432" w:hanging="432"/>
      </w:pPr>
      <w:r>
        <w:rPr>
          <w:rFonts w:ascii="Arial" w:hAnsi="Arial"/>
          <w:color w:val="222222"/>
          <w:sz w:val="19"/>
        </w:rPr>
        <w:t>[7] R. J. Hyndman and G. Athanasopoulos, Forecasting: Principles and Practice, 3rd ed. Melbourne, Australia: OTexts, 2021.</w:t>
      </w:r>
    </w:p>
    <w:p>
      <w:pPr>
        <w:spacing w:after="80" w:line="276" w:lineRule="auto"/>
        <w:ind w:left="432" w:hanging="432"/>
      </w:pPr>
      <w:r>
        <w:rPr>
          <w:rFonts w:ascii="Arial" w:hAnsi="Arial"/>
          <w:color w:val="222222"/>
          <w:sz w:val="19"/>
        </w:rPr>
        <w:t>[8] G. E. P. Box, G. M. Jenkins, G. C. Reinsel, and G. M. Ljung, Time Series Analysis: Forecasting and Control, 5th ed. Hoboken, NJ, USA: John Wiley &amp; Sons, 2015.</w:t>
      </w:r>
    </w:p>
    <w:p>
      <w:pPr>
        <w:spacing w:after="80" w:line="276" w:lineRule="auto"/>
        <w:ind w:left="432" w:hanging="432"/>
      </w:pPr>
      <w:r>
        <w:rPr>
          <w:rFonts w:ascii="Arial" w:hAnsi="Arial"/>
          <w:color w:val="222222"/>
          <w:sz w:val="19"/>
        </w:rPr>
        <w:t>[9] S. M. Lundberg and S.-I. Lee, "A unified approach to interpreting model predictions," in Advances in Neural Information Processing Systems (NeurIPS 2017), vol. 30, Long Beach, CA, USA, 2017, pp. 4765–4774.</w:t>
      </w:r>
    </w:p>
    <w:p>
      <w:pPr>
        <w:spacing w:after="80" w:line="276" w:lineRule="auto"/>
        <w:ind w:left="432" w:hanging="432"/>
      </w:pPr>
      <w:r>
        <w:rPr>
          <w:rFonts w:ascii="Arial" w:hAnsi="Arial"/>
          <w:color w:val="222222"/>
          <w:sz w:val="19"/>
        </w:rPr>
        <w:t>[10] N. V. Chawla, K. W. Bowyer, L. O. Hall, and W. P. Kegelmeyer, "SMOTE: Synthetic minority over-sampling technique," Journal of Artificial Intelligence Research, vol. 16, pp. 321–357, 2002.</w:t>
      </w:r>
    </w:p>
    <w:p>
      <w:pPr>
        <w:spacing w:after="80" w:line="276" w:lineRule="auto"/>
        <w:ind w:left="432" w:hanging="432"/>
      </w:pPr>
      <w:r>
        <w:rPr>
          <w:rFonts w:ascii="Arial" w:hAnsi="Arial"/>
          <w:color w:val="222222"/>
          <w:sz w:val="19"/>
        </w:rPr>
        <w:t>[11] F. Pedregosa et al., "Scikit-learn: Machine learning in Python," Journal of Machine Learning Research, vol. 12, pp. 2825–2830, 2011.</w:t>
      </w:r>
    </w:p>
    <w:p>
      <w:pPr>
        <w:spacing w:after="80" w:line="276" w:lineRule="auto"/>
        <w:ind w:left="432" w:hanging="432"/>
      </w:pPr>
      <w:r>
        <w:rPr>
          <w:rFonts w:ascii="Arial" w:hAnsi="Arial"/>
          <w:color w:val="222222"/>
          <w:sz w:val="19"/>
        </w:rPr>
        <w:t>[12] Bahrain Polytechnic, "Academic Quality and Assessment Regulations Handbook," Curriculum and Academic Services, Manama, Kingdom of Bahrain,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