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Student ID: 2002126</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Student ID: 2002138</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Student ID: 2102151</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4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cryptographic backbone of enterprise identity, issuing credentials for domain authentication and single sign-on. Misconfigured certificate templates, access control lists (ACLs), and issuance policies introduce systemic privilege escalation vectors (ESC1--ESC15+) that enable unprivileged accounts to compromise entire Active Directory domains. Signature-based scanners (e.g., Certipy, BloodHound) evaluate flags in isolation and incur high traversal overhead on large topologies. In this thesis, we present CertGraph, a heterogeneous Graph Attention Network (Hetero-GAT) that models enterprise identity as a typed multigraph G = (V, E, T_V, T_E) to detect structural escalation paths across core vectors (ESC1, ESC2, ESC3, ESC4, ESC9, and ESC13).</w:t>
      </w:r>
    </w:p>
    <w:p>
      <w:pPr>
        <w:spacing w:before="0" w:after="120" w:line="276" w:lineRule="auto"/>
        <w:jc w:val="both"/>
      </w:pPr>
      <w:r>
        <w:rPr>
          <w:rFonts w:ascii="Times New Roman" w:hAnsi="Times New Roman"/>
          <w:b w:val="0"/>
          <w:i w:val="0"/>
          <w:sz w:val="22"/>
        </w:rPr>
        <w:t>Grounding our evaluation in the security machine learning framework of Arp et al. (USENIX Security 2022), we identify and resolve three systemic pitfalls in synthetic identity datasets: positional index leakage, baseline feature asymmetry, and rule saturation. We prove mathematically (Theorem 1) that residual skip-connections are indispensable for preventing representation collapse on identity graphs; omitting them makes template representations independent of input flags, reducing classification Macro-F1 from 0.9986 to 0.4768. On an audited 700-environment enterprise benchmark evaluated under 5-fold cross-validation with Nadeau-Bengio corrected variance, CertGraph achieves a Macro-F1 of 0.9986, substantially outperforming flat classifiers (0.8600) and signature heuristics (0.7791).</w:t>
      </w:r>
    </w:p>
    <w:p>
      <w:pPr>
        <w:spacing w:before="0" w:after="200" w:line="276" w:lineRule="auto"/>
        <w:jc w:val="both"/>
      </w:pPr>
      <w:r>
        <w:rPr>
          <w:rFonts w:ascii="Times New Roman" w:hAnsi="Times New Roman"/>
          <w:b w:val="0"/>
          <w:i w:val="0"/>
          <w:sz w:val="22"/>
        </w:rPr>
        <w:t>However, when evaluated against an adversarial Zero-Shot Hard Negative suite (n = 63) containing benign templates with dangerous flags, pure neural models collapse to 1.59% accuracy due to shortcut learning on isolated attributes, whereas symbolic graph traversal achieves 84.13%. To resolve this dichotomy, we formulate a Two-Tier Neuro-Symbolic architecture pairing rapid GNN candidate screening (filtering &gt;89% of benign templates) with a localized symbolic verification oracle to eliminate false positives by construction. Finally, we model identity privilege revocation as a Stackelberg security game, prove its NP-hardness via reduction from Directed Multiway Cut, and demonstrate a greedy capacity-disruption heuristic that severs up to 68.6% of compromise paths under bounded operational budgets (p &lt; 10^-8).</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 Autonomous Cyber Defense.</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enterprise lateral movement detection, and identity graph defense </w:t>
      </w:r>
      <w:r>
        <w:t xml:space="preserve">(Goel et al. 2025; King and Huang 2023; Guo et al. 2022; Zhou et al. 2024)</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sec:gnn_lateral_adversarial"/>
    <w:p>
      <w:pPr>
        <w:pStyle w:val="Heading3"/>
      </w:pPr>
      <w:r>
        <w:t xml:space="preserve">GNNs for Lateral Movement Detection and Adversarial Robustness</w:t>
      </w:r>
    </w:p>
    <w:p>
      <w:pPr>
        <w:pStyle w:val="FirstParagraph"/>
        <w:keepNext/>
        <w:spacing w:before="160" w:after="80"/>
        <w:jc w:val="center"/>
      </w:pPr>
      <w:r>
        <w:t xml:space="preserve">Beyond static node classification, graph representation learning has been increasingly adapted to detect dynamic host-to-host pivots and authentication sequences in enterprise networks. King and Huang (2023) </w:t>
      </w:r>
      <w:r>
        <w:t xml:space="preserve">(King and Huang 2023)</w:t>
      </w:r>
      <w:r>
        <w:t xml:space="preserve"> </w:t>
      </w:r>
      <w:r>
        <w:t xml:space="preserve">proposed</w:t>
      </w:r>
      <w:r>
        <w:t xml:space="preserve"> </w:t>
      </w:r>
      <w:r>
        <w:rPr>
          <w:b/>
          <w:bCs/>
        </w:rPr>
        <w:t xml:space="preserve">EULER</w:t>
      </w:r>
      <w:r>
        <w:t xml:space="preserve">, a scalable framework decoupling spatial GNN message passing from temporal recurrent sequence encoding to detect lateral movement as anomalous link prediction over discrete temporal authentication graphs. More recently, Zhou et al. (2024) </w:t>
      </w:r>
      <w:r>
        <w:t xml:space="preserve">(Zhou et al. 2024)</w:t>
      </w:r>
      <w:r>
        <w:t xml:space="preserve"> </w:t>
      </w:r>
      <w:r>
        <w:t xml:space="preserve">developed</w:t>
      </w:r>
      <w:r>
        <w:t xml:space="preserve"> </w:t>
      </w:r>
      <w:r>
        <w:rPr>
          <w:b/>
          <w:bCs/>
        </w:rPr>
        <w:t xml:space="preserve">LMDetect</w:t>
      </w:r>
      <w:r>
        <w:t xml:space="preserve">, constructing Heterogeneous Authentication Multigraphs (HAMG) to classify time-aware subgraphs extracted around authentication events. While these approaches demonstrate the efficacy of relational learning over authentication telemetry (e.g., Event ID 4624/4672 log streams), they operate primarily on temporal host interaction logs rather than the static cryptographic permission and PKI configuration fabric evaluated by CertGraph.</w:t>
      </w:r>
    </w:p>
    <w:p>
      <w:pPr>
        <w:pStyle w:val="BodyText"/>
      </w:pPr>
      <w:r>
        <w:t xml:space="preserve">Simultaneously, the theoretical attack surface of GNNs in adversarial settings has received rigorous formalization. As categorized in the adversarial robustness taxonomy by Günnemann (2022) </w:t>
      </w:r>
      <w:r>
        <w:t xml:space="preserve">(Günnemann 2022)</w:t>
      </w:r>
      <w:r>
        <w:t xml:space="preserve">, GNNs exhibit distinct vulnerabilities compared to standard deep models due to the non-independent and identically distributed (non-IID) nature of graph topologies. Attacks are broadly categorized by:</w:t>
      </w:r>
    </w:p>
    <w:p>
      <w:pPr>
        <w:numPr>
          <w:ilvl w:val="0"/>
          <w:numId w:val="25"/>
        </w:numPr>
      </w:pPr>
      <w:r>
        <w:rPr>
          <w:b/>
          <w:bCs/>
        </w:rPr>
        <w:t xml:space="preserve">Attacker Phase:</w:t>
      </w:r>
      <w:r>
        <w:t xml:space="preserve"> </w:t>
      </w:r>
      <w:r>
        <w:rPr>
          <w:i/>
          <w:iCs/>
        </w:rPr>
        <w:t xml:space="preserve">Poisoning</w:t>
      </w:r>
      <w:r>
        <w:t xml:space="preserve"> </w:t>
      </w:r>
      <w:r>
        <w:t xml:space="preserve">attacks (perturbing graph structure or attributes during training) versus</w:t>
      </w:r>
      <w:r>
        <w:t xml:space="preserve"> </w:t>
      </w:r>
      <w:r>
        <w:rPr>
          <w:i/>
          <w:iCs/>
        </w:rPr>
        <w:t xml:space="preserve">Evasion</w:t>
      </w:r>
      <w:r>
        <w:t xml:space="preserve"> </w:t>
      </w:r>
      <w:r>
        <w:t xml:space="preserve">attacks (perturbing test instances at inference time).</w:t>
      </w:r>
    </w:p>
    <w:p>
      <w:pPr>
        <w:numPr>
          <w:ilvl w:val="0"/>
          <w:numId w:val="25"/>
        </w:numPr>
      </w:pPr>
      <w:r>
        <w:rPr>
          <w:b/>
          <w:bCs/>
        </w:rPr>
        <w:t xml:space="preserve">Perturbation Target:</w:t>
      </w:r>
      <w:r>
        <w:t xml:space="preserve"> </w:t>
      </w:r>
      <w:r>
        <w:rPr>
          <w:i/>
          <w:iCs/>
        </w:rPr>
        <w:t xml:space="preserve">Structural perturbation</w:t>
      </w:r>
      <w:r>
        <w:t xml:space="preserve"> </w:t>
      </w:r>
      <w:r>
        <w:t xml:space="preserve">(adversarial edge additions or deletions) versus</w:t>
      </w:r>
      <w:r>
        <w:t xml:space="preserve"> </w:t>
      </w:r>
      <w:r>
        <w:rPr>
          <w:i/>
          <w:iCs/>
        </w:rPr>
        <w:t xml:space="preserve">Node feature manipulation</w:t>
      </w:r>
      <w:r>
        <w:t xml:space="preserve"> </w:t>
      </w:r>
      <w:r>
        <w:t xml:space="preserve">(corrupting entity attribute vectors).</w:t>
      </w:r>
    </w:p>
    <w:p>
      <w:pPr>
        <w:numPr>
          <w:ilvl w:val="0"/>
          <w:numId w:val="25"/>
        </w:numPr>
      </w:pPr>
      <w:r>
        <w:rPr>
          <w:b/>
          <w:bCs/>
        </w:rPr>
        <w:t xml:space="preserve">Adversarial Scope:</w:t>
      </w:r>
      <w:r>
        <w:t xml:space="preserve"> </w:t>
      </w:r>
      <w:r>
        <w:rPr>
          <w:i/>
          <w:iCs/>
        </w:rPr>
        <w:t xml:space="preserve">Targeted</w:t>
      </w:r>
      <w:r>
        <w:t xml:space="preserve"> </w:t>
      </w:r>
      <w:r>
        <w:t xml:space="preserve">attacks (inducing misclassification on a specific node or template) versus</w:t>
      </w:r>
      <w:r>
        <w:t xml:space="preserve"> </w:t>
      </w:r>
      <w:r>
        <w:rPr>
          <w:i/>
          <w:iCs/>
        </w:rPr>
        <w:t xml:space="preserve">Non-targeted</w:t>
      </w:r>
      <w:r>
        <w:t xml:space="preserve"> </w:t>
      </w:r>
      <w:r>
        <w:t xml:space="preserve">degradation (reducing overall global accuracy).</w:t>
      </w:r>
    </w:p>
    <w:p>
      <w:pPr>
        <w:pStyle w:val="FirstParagraph"/>
      </w:pPr>
      <w:r>
        <w:t xml:space="preserve">Understanding these formal attack surfaces is essential when designing identity defense models, as attackers who gain partial administrative control may intentionally manipulate directory permissions or inject decoy edges to mislead downstream graph classifiers.</w:t>
      </w:r>
    </w:p>
    <w:bookmarkEnd w:id="16"/>
    <w:bookmarkStart w:id="19"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(2022) </w:t>
      </w:r>
      <w:r>
        <w:t xml:space="preserve">(Guo et al. 2022)</w:t>
      </w:r>
      <w:r>
        <w:t xml:space="preserve"> </w:t>
      </w:r>
      <w:r>
        <w:t xml:space="preserve">established the parameterized W[1]-hardness of shortest-path interdiction, demonstrating that fixed-parameter tractable (FPT) tree decompositions and GCN heuristics can effectively identify critical edges on tree-like topologies. Subsequently, Guo et al. (2023) </w:t>
      </w:r>
      <w:r>
        <w:t xml:space="preserve">(Guo et al. 2023)</w:t>
      </w:r>
      <w:r>
        <w:t xml:space="preserve"> </w:t>
      </w:r>
      <w:r>
        <w:t xml:space="preserve">developed scalable edge-blocking algorithms by exploiting graph treewidth and parameterizing non-splitting paths to minimize attacker reachability to Domain Admin under operational budget constraints, while Zhang et al. (2023) </w:t>
      </w:r>
      <w:r>
        <w:t xml:space="preserve">(Zhang et al. 2023)</w:t>
      </w:r>
      <w:r>
        <w:t xml:space="preserve"> </w:t>
      </w:r>
      <w:r>
        <w:t xml:space="preserve">formulated a scalable double oracle framework restricting edge interdiction to active attack paths on graphs with up to 100,000 nodes. Expanding upon this game-theoretic interdiction foundation, Goel et al. (2024, 2025) </w:t>
      </w:r>
      <w:r>
        <w:t xml:space="preserve">(Goel, Moore, et al. 2024; Goel, Ward, et al. 2024; Goel et al. 2025)</w:t>
      </w:r>
      <w:r>
        <w:t xml:space="preserve"> </w:t>
      </w:r>
      <w:r>
        <w:t xml:space="preserve">introduced co-adaptive reinforcement learning, neural dynamic programming, and evolutionary diversity optimization (EDO) frameworks for synthesizing robust Active Directory hardening policies, while Ngo (2026) </w:t>
      </w:r>
      <w:r>
        <w:t xml:space="preserve">(Ngo 2026)</w:t>
      </w:r>
      <w:r>
        <w:t xml:space="preserve"> </w:t>
      </w:r>
      <w:r>
        <w:t xml:space="preserve">unified combinatorial and deceptive defense optimization across temporal Active Directory attack graphs.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7"/>
    <w:bookmarkEnd w:id="18"/>
    <w:bookmarkStart w:id="20"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1"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6"/>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6"/>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6"/>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6"/>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9"/>
    <w:bookmarkStart w:id="22"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7"/>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7"/>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7"/>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20"/>
    <w:bookmarkStart w:id="23"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8"/>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8"/>
        </w:numPr>
      </w:pPr>
      <w:r>
        <w:t xml:space="preserve">Verifies that the certificate contains an authorized Extended Key Usage (EKU) permitting client authentication.</w:t>
      </w:r>
    </w:p>
    <w:p>
      <w:pPr>
        <w:numPr>
          <w:ilvl w:val="0"/>
          <w:numId w:val="28"/>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8"/>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1"/>
    <w:bookmarkStart w:id="24"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9"/>
        </w:numPr>
      </w:pPr>
      <w:r>
        <w:rPr>
          <w:rStyle w:val="VerbatimChar"/>
        </w:rPr>
        <w:t xml:space="preserve">GenericAll</w:t>
      </w:r>
      <w:r>
        <w:t xml:space="preserve">: Full unrestricted control over the target object (enabling password resets, attribute modification, and object deletion).</w:t>
      </w:r>
    </w:p>
    <w:p>
      <w:pPr>
        <w:numPr>
          <w:ilvl w:val="0"/>
          <w:numId w:val="29"/>
        </w:numPr>
      </w:pPr>
      <w:r>
        <w:rPr>
          <w:rStyle w:val="VerbatimChar"/>
        </w:rPr>
        <w:t xml:space="preserve">GenericWrite</w:t>
      </w:r>
      <w:r>
        <w:t xml:space="preserve">: Permission to modify any non-confidential attribute of the object.</w:t>
      </w:r>
    </w:p>
    <w:p>
      <w:pPr>
        <w:numPr>
          <w:ilvl w:val="0"/>
          <w:numId w:val="29"/>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9"/>
        </w:numPr>
      </w:pPr>
      <w:r>
        <w:rPr>
          <w:rStyle w:val="VerbatimChar"/>
        </w:rPr>
        <w:t xml:space="preserve">WriteOwner</w:t>
      </w:r>
      <w:r>
        <w:t xml:space="preserve">: Permission to assume ownership of the object and subsequently rewrite its security descriptor.</w:t>
      </w:r>
    </w:p>
    <w:p>
      <w:pPr>
        <w:numPr>
          <w:ilvl w:val="0"/>
          <w:numId w:val="29"/>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2"/>
    <w:bookmarkEnd w:id="23"/>
    <w:bookmarkStart w:id="25"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6" w:name="fig:adcs_schema"/>
    <w:p xmlns:a="http://schemas.openxmlformats.org/drawingml/2006/main" xmlns:pic="http://schemas.openxmlformats.org/drawingml/2006/picture">
      <w:pPr>
        <w:pStyle w:val="CaptionedFigure"/>
        <w:keepNext/>
        <w:spacing w:before="160" w:after="80"/>
        <w:jc w:val="center"/>
      </w:pPr>
      <w:r>
        <w:drawing>
          <wp:inline>
            <wp:extent cx="6121400" cy="3497942"/>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97942"/>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4"/>
    <w:p>
      <w:pPr>
        <w:numPr>
          <w:ilvl w:val="0"/>
          <w:numId w:val="30"/>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30"/>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30"/>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1"/>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1"/>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1"/>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1"/>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30"/>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5"/>
    <w:bookmarkStart w:id="27"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8"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2"/>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2"/>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2"/>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2"/>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2"/>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9" w:name="fig:esc13_path"/>
    <w:p xmlns:a="http://schemas.openxmlformats.org/drawingml/2006/main" xmlns:pic="http://schemas.openxmlformats.org/drawingml/2006/picture">
      <w:pPr>
        <w:pStyle w:val="CaptionedFigure"/>
        <w:keepNext/>
        <w:spacing w:before="160" w:after="80"/>
        <w:jc w:val="center"/>
      </w:pPr>
      <w:r>
        <w:drawing>
          <wp:inline>
            <wp:extent cx="6121400" cy="3539966"/>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6121400" cy="3539966"/>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6"/>
    <w:bookmarkEnd w:id="27"/>
    <w:bookmarkEnd w:id="28"/>
    <w:bookmarkStart w:id="30"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1" w:name="attacker-model"/>
    <w:p>
      <w:pPr>
        <w:pStyle w:val="Heading3"/>
      </w:pPr>
      <w:r>
        <w:t xml:space="preserve">Attacker Model</w:t>
      </w:r>
    </w:p>
    <w:p>
      <w:pPr>
        <w:numPr>
          <w:ilvl w:val="0"/>
          <w:numId w:val="33"/>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3"/>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3"/>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9"/>
    <w:bookmarkStart w:id="32" w:name="defender-model"/>
    <w:p>
      <w:pPr>
        <w:pStyle w:val="Heading3"/>
      </w:pPr>
      <w:r>
        <w:t xml:space="preserve">Defender Model</w:t>
      </w:r>
    </w:p>
    <w:p>
      <w:pPr>
        <w:numPr>
          <w:ilvl w:val="0"/>
          <w:numId w:val="34"/>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4"/>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4"/>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30"/>
    <w:bookmarkEnd w:id="31"/>
    <w:bookmarkEnd w:id="32"/>
    <w:bookmarkStart w:id="33" w:name="ch:methodology"/>
    <w:p>
      <w:pPr>
        <w:pStyle w:val="Heading1"/>
        <w:pageBreakBefore/>
        <w:spacing w:before="360" w:after="240"/>
      </w:pPr>
      <w:r>
        <w:t xml:space="preserve">Formal Methodology and CertGraph Architecture</w:t>
      </w:r>
    </w:p>
    <w:bookmarkStart w:id="34"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5"/>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5"/>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5"/>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5"/>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5"/>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5"/>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3"/>
    <w:bookmarkStart w:id="35"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6"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6"/>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6"/>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6"/>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6"/>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6"/>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6"/>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6"/>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6"/>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6"/>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6"/>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4"/>
    <w:bookmarkStart w:id="37"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7"/>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7"/>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7"/>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7"/>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5"/>
    <w:bookmarkStart w:id="38"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6"/>
    <w:bookmarkEnd w:id="37"/>
    <w:bookmarkStart w:id="39"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40" w:name="fig:certgraph_arch"/>
    <w:p xmlns:a="http://schemas.openxmlformats.org/drawingml/2006/main" xmlns:pic="http://schemas.openxmlformats.org/drawingml/2006/picture">
      <w:pPr>
        <w:pStyle w:val="CaptionedFigure"/>
        <w:keepNext/>
        <w:spacing w:before="160" w:after="80"/>
        <w:jc w:val="center"/>
      </w:pPr>
      <w:r>
        <w:drawing>
          <wp:inline>
            <wp:extent cx="6121400" cy="3034979"/>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034979"/>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8"/>
    <w:bookmarkStart w:id="41"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9"/>
    <w:bookmarkStart w:id="42"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40"/>
    <w:bookmarkStart w:id="43"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4"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1"/>
    <w:bookmarkEnd w:id="42"/>
    <w:bookmarkStart w:id="45"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8"/>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8"/>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8"/>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6"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3"/>
    <w:bookmarkEnd w:id="44"/>
    <w:bookmarkStart w:id="47"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5"/>
    <w:bookmarkEnd w:id="46"/>
    <w:bookmarkStart w:id="48"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9"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7"/>
    <w:bookmarkStart w:id="50"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8"/>
    <w:bookmarkEnd w:id="49"/>
    <w:bookmarkStart w:id="51"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2" w:name="thm:representation_preservation"/>
      <w:bookmarkEnd w:id="50"/>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9"/>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9"/>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1"/>
    <w:bookmarkStart w:id="53"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40"/>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40"/>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40"/>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40"/>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2"/>
    <w:bookmarkEnd w:id="53"/>
    <w:bookmarkStart w:id="54" w:name="ch:audit"/>
    <w:p>
      <w:pPr>
        <w:pStyle w:val="Heading1"/>
        <w:pageBreakBefore/>
        <w:spacing w:before="360" w:after="240"/>
      </w:pPr>
      <w:r>
        <w:t xml:space="preserve">Forensic Audit: Unmasking Experimental Illusions in Security Machine Learning</w:t>
      </w:r>
    </w:p>
    <w:bookmarkStart w:id="55"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 This vulnerability directly mirrors the pervasive</w:t>
      </w:r>
      <w:r>
        <w:t xml:space="preserve"> </w:t>
      </w:r>
      <w:r>
        <w:t xml:space="preserve">“Clever Hans”</w:t>
      </w:r>
      <w:r>
        <w:t xml:space="preserve"> </w:t>
      </w:r>
      <w:r>
        <w:t xml:space="preserve">effect surveyed by Ye et al. (2026) </w:t>
      </w:r>
      <w:r>
        <w:t xml:space="preserve">(Ye et al. 2026)</w:t>
      </w:r>
      <w:r>
        <w:t xml:space="preserve"> </w:t>
      </w:r>
      <w:r>
        <w:t xml:space="preserve">and Geirhos et al. (2020) </w:t>
      </w:r>
      <w:r>
        <w:t xml:space="preserve">(Geirhos et al. 2020)</w:t>
      </w:r>
      <w:r>
        <w:t xml:space="preserve">, where machine learning models achieve superficial benchmark success by exploiting non-causal statistical artifacts rather than valid domain concepts.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1"/>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1"/>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4"/>
    <w:bookmarkStart w:id="56" w:name="the-four-experimental-illusions"/>
    <w:p>
      <w:pPr>
        <w:pStyle w:val="Heading2"/>
        <w:spacing w:before="280" w:after="120"/>
      </w:pPr>
      <w:r>
        <w:t xml:space="preserve">The Four Experimental Illusions</w:t>
      </w:r>
    </w:p>
    <w:bookmarkStart w:id="57"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2"/>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2"/>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2"/>
        </w:numPr>
      </w:pPr>
      <w:r>
        <w:t xml:space="preserve">In ESC13 synthetic generation routines, the issuance policy OID was programmatically linked exclusively to group index</w:t>
      </w:r>
      <w:r>
        <w:t xml:space="preserve"> </w:t>
      </w:r>
      <m:oMath>
        <m:r>
          <m:t>0</m:t>
        </m:r>
      </m:oMath>
      <w:r>
        <w:t xml:space="preserve">.</w:t>
      </w:r>
    </w:p>
    <w:bookmarkStart w:id="58"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5"/>
    <w:bookmarkStart w:id="59"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6"/>
    <w:bookmarkEnd w:id="57"/>
    <w:bookmarkStart w:id="60"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3"/>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3"/>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8"/>
    <w:bookmarkStart w:id="61"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4"/>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4"/>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4"/>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4"/>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2"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9"/>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60"/>
    <w:bookmarkStart w:id="63"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1"/>
    <w:bookmarkEnd w:id="62"/>
    <w:bookmarkStart w:id="64"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5"/>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5"/>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5"/>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5"/>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5"/>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3"/>
    <w:bookmarkStart w:id="65"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4"/>
    <w:bookmarkStart w:id="66" w:name="X4a616f273a2978644eccee3b5f35228912f24d0"/>
    <w:p>
      <w:pPr>
        <w:pStyle w:val="Heading2"/>
        <w:spacing w:before="280" w:after="120"/>
      </w:pPr>
      <w:r>
        <w:t xml:space="preserve">Methodological Guidelines for Security Graph Learning</w:t>
      </w:r>
    </w:p>
    <w:p>
      <w:pPr>
        <w:pStyle w:val="FirstParagraph"/>
      </w:pPr>
      <w:r>
        <w:t xml:space="preserve">Interpreted through the pragmatic frames of spurious correlations formalized by Bell and Wang (2024) </w:t>
      </w:r>
      <w:r>
        <w:t xml:space="preserve">(Bell and Wang 2024)</w:t>
      </w:r>
      <w:r>
        <w:t xml:space="preserve">, these empirical failures demonstrate that correlation desirability is governed by situated, functional requirements—specifically whether discovered patterns satisfy the pragmatic frames of</w:t>
      </w:r>
      <w:r>
        <w:t xml:space="preserve"> </w:t>
      </w:r>
      <w:r>
        <w:rPr>
          <w:i/>
          <w:iCs/>
        </w:rPr>
        <w:t xml:space="preserve">relevance</w:t>
      </w:r>
      <w:r>
        <w:t xml:space="preserve"> </w:t>
      </w:r>
      <w:r>
        <w:t xml:space="preserve">to actual access control reachability and</w:t>
      </w:r>
      <w:r>
        <w:t xml:space="preserve"> </w:t>
      </w:r>
      <w:r>
        <w:rPr>
          <w:i/>
          <w:iCs/>
        </w:rPr>
        <w:t xml:space="preserve">generalizability</w:t>
      </w:r>
      <w:r>
        <w:t xml:space="preserve"> </w:t>
      </w:r>
      <w:r>
        <w:t xml:space="preserve">under distribution shifts. Grounding our findings in these principles and the security machine learning pitfalls of Arp et al. </w:t>
      </w:r>
      <w:r>
        <w:t xml:space="preserve">(Arp et al. 2022)</w:t>
      </w:r>
      <w:r>
        <w:t xml:space="preserve">, we formulate five methodological guidelines for researchers applying Graph Neural Networks to cybersecurity:</w:t>
      </w:r>
    </w:p>
    <w:p>
      <w:pPr>
        <w:numPr>
          <w:ilvl w:val="0"/>
          <w:numId w:val="46"/>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6"/>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6"/>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6"/>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6"/>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5"/>
    <w:bookmarkEnd w:id="66"/>
    <w:bookmarkStart w:id="67" w:name="ch:evaluation"/>
    <w:p>
      <w:pPr>
        <w:pStyle w:val="Heading1"/>
        <w:pageBreakBefore/>
        <w:spacing w:before="360" w:after="240"/>
      </w:pPr>
      <w:r>
        <w:t xml:space="preserve">Empirical Evaluation and Benchmarks</w:t>
      </w:r>
    </w:p>
    <w:bookmarkStart w:id="68"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9"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7"/>
        </w:numPr>
      </w:pPr>
      <w:r>
        <w:rPr>
          <w:rStyle w:val="VerbatimChar"/>
        </w:rPr>
        <w:t xml:space="preserve">Safe</w:t>
      </w:r>
      <w:r>
        <w:t xml:space="preserve">: Completely secure certificate templates or published templates lacking unprivileged attack paths.</w:t>
      </w:r>
    </w:p>
    <w:p>
      <w:pPr>
        <w:numPr>
          <w:ilvl w:val="0"/>
          <w:numId w:val="47"/>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7"/>
        </w:numPr>
      </w:pPr>
      <w:r>
        <w:rPr>
          <w:rStyle w:val="VerbatimChar"/>
        </w:rPr>
        <w:t xml:space="preserve">ESC2</w:t>
      </w:r>
      <w:r>
        <w:t xml:space="preserve">: Templates configured with Any Purpose EKU or lacking EKUs, enrollable by unprivileged accounts.</w:t>
      </w:r>
    </w:p>
    <w:p>
      <w:pPr>
        <w:numPr>
          <w:ilvl w:val="0"/>
          <w:numId w:val="47"/>
        </w:numPr>
      </w:pPr>
      <w:r>
        <w:rPr>
          <w:rStyle w:val="VerbatimChar"/>
        </w:rPr>
        <w:t xml:space="preserve">ESC3</w:t>
      </w:r>
      <w:r>
        <w:t xml:space="preserve">: Templates specifying Certificate Request Agent EKU, enrollable by unprivileged principals.</w:t>
      </w:r>
    </w:p>
    <w:p>
      <w:pPr>
        <w:numPr>
          <w:ilvl w:val="0"/>
          <w:numId w:val="47"/>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7"/>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7"/>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7"/>
    <w:bookmarkStart w:id="70"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8"/>
    <w:bookmarkEnd w:id="69"/>
    <w:bookmarkStart w:id="71"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2"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3"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70"/>
        </w:tc>
        <w:tc>
          <w:tcPr/>
          <w:bookmarkStart w:id="74"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1"/>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2"/>
    <w:bookmarkStart w:id="75"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6" w:name="X61fbe9256e8bfec86262d3c0f709b591e60fd9f"/>
    <w:p>
      <w:pPr>
        <w:pStyle w:val="Heading5"/>
      </w:pPr>
      <w:r>
        <w:t xml:space="preserve">Critical Analysis of In-Distribution Findings:</w:t>
      </w:r>
    </w:p>
    <w:p>
      <w:pPr>
        <w:numPr>
          <w:ilvl w:val="0"/>
          <w:numId w:val="48"/>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8"/>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8"/>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8"/>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9"/>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9"/>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9"/>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5.5</w:t>
        </w:r>
      </w:hyperlink>
      <w:r>
        <w:t xml:space="preserve">), providing actionable forensic explanations.</w:t>
      </w:r>
    </w:p>
    <w:bookmarkEnd w:id="73"/>
    <w:bookmarkEnd w:id="74"/>
    <w:bookmarkStart w:id="77"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50"/>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50"/>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5"/>
    <w:bookmarkEnd w:id="76"/>
    <w:bookmarkStart w:id="78"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9"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7"/>
    <w:bookmarkStart w:id="80"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8"/>
    <w:bookmarkEnd w:id="79"/>
    <w:bookmarkStart w:id="81"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1"/>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1"/>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2"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80"/>
    <w:bookmarkStart w:id="83"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2"/>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2"/>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2"/>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and spurious shortcut learning (Arp et al., 2022 </w:t>
      </w:r>
      <w:r>
        <w:t xml:space="preserve">(Arp et al. 2022)</w:t>
      </w:r>
      <w:r>
        <w:t xml:space="preserve">; Geirhos et al., 2020 </w:t>
      </w:r>
      <w:r>
        <w:t xml:space="preserve">(Geirhos et al. 2020)</w:t>
      </w:r>
      <w:r>
        <w:t xml:space="preserve">; Ye et al., 2026 </w:t>
      </w:r>
      <w:r>
        <w:t xml:space="preserve">(Ye et al. 2026)</w:t>
      </w:r>
      <w:r>
        <w:t xml:space="preserve">; Bell and Wang, 2024 </w:t>
      </w:r>
      <w:r>
        <w:t xml:space="preserve">(Bell and Wang 2024)</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2"/>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1"/>
    <w:bookmarkEnd w:id="82"/>
    <w:bookmarkStart w:id="84" w:name="sec:attention_weights"/>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5"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3"/>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3"/>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3"/>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3"/>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4"/>
    <w:bookmarkEnd w:id="85"/>
    <w:bookmarkStart w:id="86" w:name="ch:case_study"/>
    <w:p>
      <w:pPr>
        <w:pStyle w:val="Heading1"/>
        <w:pageBreakBefore/>
        <w:spacing w:before="360" w:after="240"/>
      </w:pPr>
      <w:r>
        <w:t xml:space="preserve">Real-World Active Directory Case Studies: GOAD and Community Benchmarks</w:t>
      </w:r>
    </w:p>
    <w:bookmarkStart w:id="87"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4"/>
        </w:numPr>
      </w:pPr>
      <w:r>
        <w:t xml:space="preserve">Multi-forest trust topologies with complex Kerberos referral tickets and SID filtering boundaries.</w:t>
      </w:r>
    </w:p>
    <w:p>
      <w:pPr>
        <w:numPr>
          <w:ilvl w:val="0"/>
          <w:numId w:val="54"/>
        </w:numPr>
      </w:pPr>
      <w:r>
        <w:t xml:space="preserve">Highly nested security group hierarchies created over decades of administrative churn.</w:t>
      </w:r>
    </w:p>
    <w:p>
      <w:pPr>
        <w:numPr>
          <w:ilvl w:val="0"/>
          <w:numId w:val="54"/>
        </w:numPr>
      </w:pPr>
      <w:r>
        <w:t xml:space="preserve">Legacy access control entries (ACEs) inheriting permissions across deep Organizational Unit (OU) trees.</w:t>
      </w:r>
    </w:p>
    <w:p>
      <w:pPr>
        <w:numPr>
          <w:ilvl w:val="0"/>
          <w:numId w:val="54"/>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6"/>
    <w:bookmarkStart w:id="88"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5"/>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5"/>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5"/>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9" w:name="fig:goad_topology"/>
    <w:p xmlns:a="http://schemas.openxmlformats.org/drawingml/2006/main" xmlns:pic="http://schemas.openxmlformats.org/drawingml/2006/picture">
      <w:pPr>
        <w:pStyle w:val="CaptionedFigure"/>
        <w:keepNext/>
        <w:spacing w:before="160" w:after="80"/>
        <w:jc w:val="center"/>
      </w:pPr>
      <w:r>
        <w:drawing>
          <wp:inline>
            <wp:extent cx="6121400" cy="326320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26320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7"/>
    <w:bookmarkEnd w:id="88"/>
    <w:bookmarkStart w:id="90"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1"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6"/>
        </w:numPr>
      </w:pPr>
      <w:r>
        <w:t xml:space="preserve">Security Principal metadata (Users, Computers, Groups, CAs, Templates).</w:t>
      </w:r>
    </w:p>
    <w:p>
      <w:pPr>
        <w:numPr>
          <w:ilvl w:val="0"/>
          <w:numId w:val="56"/>
        </w:numPr>
      </w:pPr>
      <w:r>
        <w:t xml:space="preserve">Group membership nesting hierarchies (</w:t>
      </w:r>
      <w:r>
        <w:rPr>
          <w:rStyle w:val="VerbatimChar"/>
        </w:rPr>
        <w:t xml:space="preserve">MemberOf</w:t>
      </w:r>
      <w:r>
        <w:t xml:space="preserve">).</w:t>
      </w:r>
    </w:p>
    <w:p>
      <w:pPr>
        <w:numPr>
          <w:ilvl w:val="0"/>
          <w:numId w:val="56"/>
        </w:numPr>
      </w:pPr>
      <w:r>
        <w:t xml:space="preserve">Active user logon sessions via NetSessionEnum and Remote Registry APIs.</w:t>
      </w:r>
    </w:p>
    <w:p>
      <w:pPr>
        <w:numPr>
          <w:ilvl w:val="0"/>
          <w:numId w:val="56"/>
        </w:numPr>
      </w:pPr>
      <w:r>
        <w:t xml:space="preserve">Full Discretionary Access Control Lists (DACLs) from directory security descriptors.</w:t>
      </w:r>
    </w:p>
    <w:p>
      <w:pPr>
        <w:numPr>
          <w:ilvl w:val="0"/>
          <w:numId w:val="56"/>
        </w:numPr>
      </w:pPr>
      <w:r>
        <w:t xml:space="preserve">Certificate template attributes and Enterprise CA enrollment publication lists.</w:t>
      </w:r>
    </w:p>
    <w:bookmarkEnd w:id="89"/>
    <w:bookmarkStart w:id="92"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7"/>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7"/>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7"/>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7"/>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90"/>
    <w:bookmarkEnd w:id="91"/>
    <w:bookmarkStart w:id="93"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4" w:name="detailed-case-study-analysis"/>
    <w:p>
      <w:pPr>
        <w:pStyle w:val="Heading3"/>
      </w:pPr>
      <w:r>
        <w:t xml:space="preserve">Detailed Case Study Analysis</w:t>
      </w:r>
    </w:p>
    <w:bookmarkStart w:id="95"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8"/>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8"/>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2"/>
    <w:bookmarkStart w:id="96"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9"/>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9"/>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9"/>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7"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3"/>
    <w:bookmarkEnd w:id="94"/>
    <w:bookmarkEnd w:id="95"/>
    <w:bookmarkEnd w:id="96"/>
    <w:bookmarkStart w:id="98"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60"/>
        </w:numPr>
      </w:pPr>
      <w:r>
        <w:rPr>
          <w:b/>
          <w:bCs/>
        </w:rPr>
        <w:t xml:space="preserve">Collection Baseline (T1):</w:t>
      </w:r>
      <w:r>
        <w:t xml:space="preserve"> </w:t>
      </w:r>
      <w:r>
        <w:t xml:space="preserve">June 15, 2026.</w:t>
      </w:r>
    </w:p>
    <w:p>
      <w:pPr>
        <w:numPr>
          <w:ilvl w:val="0"/>
          <w:numId w:val="60"/>
        </w:numPr>
      </w:pPr>
      <w:r>
        <w:rPr>
          <w:b/>
          <w:bCs/>
        </w:rPr>
        <w:t xml:space="preserve">Follow-up Snapshot (T2):</w:t>
      </w:r>
      <w:r>
        <w:t xml:space="preserve"> </w:t>
      </w:r>
      <w:r>
        <w:t xml:space="preserve">July 2, 2026 (17 days later, following intermediate red-team simulation exercises).</w:t>
      </w:r>
    </w:p>
    <w:p>
      <w:pPr>
        <w:numPr>
          <w:ilvl w:val="0"/>
          <w:numId w:val="60"/>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1"/>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9"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7"/>
    <w:bookmarkEnd w:id="98"/>
    <w:bookmarkStart w:id="100"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9"/>
    <w:bookmarkEnd w:id="100"/>
    <w:bookmarkStart w:id="101" w:name="ch:robustness"/>
    <w:p>
      <w:pPr>
        <w:pStyle w:val="Heading1"/>
        <w:pageBreakBefore/>
        <w:spacing w:before="360" w:after="240"/>
      </w:pPr>
      <w:r>
        <w:t xml:space="preserve">Domain Generalization, Robustness, and Scalability</w:t>
      </w:r>
    </w:p>
    <w:bookmarkStart w:id="102"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2"/>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2"/>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2"/>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2"/>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1"/>
    <w:bookmarkStart w:id="103"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4"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3"/>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3"/>
        </w:numPr>
      </w:pPr>
      <w:r>
        <w:rPr>
          <w:b/>
          <w:bCs/>
        </w:rPr>
        <w:t xml:space="preserve">Tier 1 (Management Plane):</w:t>
      </w:r>
      <w:r>
        <w:t xml:space="preserve"> </w:t>
      </w:r>
      <w:r>
        <w:t xml:space="preserve">Enterprise servers, business-critical databases, line-of-business applications, and cloud proxy hosts.</w:t>
      </w:r>
    </w:p>
    <w:p>
      <w:pPr>
        <w:numPr>
          <w:ilvl w:val="0"/>
          <w:numId w:val="63"/>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5"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4"/>
        </w:numPr>
      </w:pPr>
      <w:r>
        <w:rPr>
          <w:b/>
          <w:bCs/>
        </w:rPr>
        <w:t xml:space="preserve">Enterprise CAs</w:t>
      </w:r>
      <w:r>
        <w:t xml:space="preserve"> </w:t>
      </w:r>
      <w:r>
        <w:t xml:space="preserve">were assigned strictly to Tier 0, linking to root Domain Controllers via RPC enrollment endpoints.</w:t>
      </w:r>
    </w:p>
    <w:p>
      <w:pPr>
        <w:numPr>
          <w:ilvl w:val="0"/>
          <w:numId w:val="64"/>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4"/>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6"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2"/>
    <w:bookmarkEnd w:id="103"/>
    <w:bookmarkEnd w:id="104"/>
    <w:bookmarkStart w:id="107"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8"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5"/>
    <w:bookmarkEnd w:id="106"/>
    <w:bookmarkEnd w:id="107"/>
    <w:bookmarkStart w:id="109"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Grounding our evaluation in the principled empirical framework of GNN structural and attribute robustness under perturbations formalized by Wu et al. (2025) </w:t>
      </w:r>
      <w:r>
        <w:t xml:space="preserve">(Wu et al. 2025)</w:t>
      </w:r>
      <w:r>
        <w:t xml:space="preserve">, we subjected CertGraph to systematic perturbation stress tests evaluating topological edge deletions, configuration feature noise, and sample efficiency scaling.</w:t>
      </w:r>
    </w:p>
    <w:bookmarkStart w:id="110"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8"/>
    <w:bookmarkStart w:id="111"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5"/>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5"/>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5"/>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9"/>
    <w:bookmarkStart w:id="112"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6"/>
        </w:numPr>
      </w:pPr>
      <m:oMath>
        <m:r>
          <m:t>0</m:t>
        </m:r>
        <m:r>
          <m:rPr>
            <m:sty m:val="p"/>
          </m:rPr>
          <m:t>%</m:t>
        </m:r>
      </m:oMath>
      <w:r>
        <w:t xml:space="preserve"> </w:t>
      </w:r>
      <w:r>
        <w:t xml:space="preserve">noise: Macro-F1 =</w:t>
      </w:r>
      <w:r>
        <w:t xml:space="preserve"> </w:t>
      </w:r>
      <m:oMath>
        <m:r>
          <m:rPr>
            <m:sty m:val="b"/>
          </m:rPr>
          <m:t>1.0000</m:t>
        </m:r>
      </m:oMath>
    </w:p>
    <w:p>
      <w:pPr>
        <w:numPr>
          <w:ilvl w:val="0"/>
          <w:numId w:val="66"/>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6"/>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6"/>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6"/>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3"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7"/>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7"/>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7"/>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10"/>
    <w:bookmarkEnd w:id="111"/>
    <w:bookmarkStart w:id="114"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8"/>
        </w:numPr>
      </w:pPr>
      <w:r>
        <w:t xml:space="preserve">20 domains: Macro-F1 =</w:t>
      </w:r>
      <w:r>
        <w:t xml:space="preserve"> </w:t>
      </w:r>
      <m:oMath>
        <m:r>
          <m:rPr>
            <m:sty m:val="b"/>
          </m:rPr>
          <m:t>0.8415</m:t>
        </m:r>
      </m:oMath>
    </w:p>
    <w:p>
      <w:pPr>
        <w:numPr>
          <w:ilvl w:val="0"/>
          <w:numId w:val="68"/>
        </w:numPr>
      </w:pPr>
      <w:r>
        <w:t xml:space="preserve">40 domains: Macro-F1 =</w:t>
      </w:r>
      <w:r>
        <w:t xml:space="preserve"> </w:t>
      </w:r>
      <m:oMath>
        <m:r>
          <m:rPr>
            <m:sty m:val="b"/>
          </m:rPr>
          <m:t>0.9274</m:t>
        </m:r>
      </m:oMath>
    </w:p>
    <w:p>
      <w:pPr>
        <w:numPr>
          <w:ilvl w:val="0"/>
          <w:numId w:val="68"/>
        </w:numPr>
      </w:pPr>
      <w:r>
        <w:t xml:space="preserve">80 domains: Macro-F1 =</w:t>
      </w:r>
      <w:r>
        <w:t xml:space="preserve"> </w:t>
      </w:r>
      <m:oMath>
        <m:r>
          <m:rPr>
            <m:sty m:val="b"/>
          </m:rPr>
          <m:t>0.9847</m:t>
        </m:r>
      </m:oMath>
    </w:p>
    <w:p>
      <w:pPr>
        <w:numPr>
          <w:ilvl w:val="0"/>
          <w:numId w:val="68"/>
        </w:numPr>
      </w:pPr>
      <w:r>
        <w:t xml:space="preserve">160 domains: Macro-F1 =</w:t>
      </w:r>
      <w:r>
        <w:t xml:space="preserve"> </w:t>
      </w:r>
      <m:oMath>
        <m:r>
          <m:rPr>
            <m:sty m:val="b"/>
          </m:rPr>
          <m:t>0.9899</m:t>
        </m:r>
      </m:oMath>
    </w:p>
    <w:p>
      <w:pPr>
        <w:numPr>
          <w:ilvl w:val="0"/>
          <w:numId w:val="68"/>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2"/>
    <w:bookmarkEnd w:id="113"/>
    <w:bookmarkStart w:id="115"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6"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4"/>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7" w:name="X2184051f4becef771fc66ff3701e2b7334b72ac"/>
    <w:p>
      <w:pPr>
        <w:pStyle w:val="Heading3"/>
      </w:pPr>
      <w:r>
        <w:t xml:space="preserve">Scalability Insights and Empirical Runtime Profiling</w:t>
      </w:r>
    </w:p>
    <w:bookmarkStart w:id="118"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5"/>
    <w:bookmarkStart w:id="119"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6"/>
    <w:bookmarkEnd w:id="117"/>
    <w:bookmarkStart w:id="120"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9"/>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9"/>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8"/>
    <w:bookmarkEnd w:id="119"/>
    <w:bookmarkEnd w:id="120"/>
    <w:bookmarkStart w:id="121" w:name="ch:neuro_symbolic"/>
    <w:p>
      <w:pPr>
        <w:pStyle w:val="Heading1"/>
        <w:pageBreakBefore/>
        <w:spacing w:before="360" w:after="240"/>
      </w:pPr>
      <w:r>
        <w:t xml:space="preserve">The Neuro-Symbolic Paradigm: Bridging Statistical GNNs and Symbolic Oracles</w:t>
      </w:r>
    </w:p>
    <w:bookmarkStart w:id="122"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70"/>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70"/>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3"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and spurious correlations </w:t>
      </w:r>
      <w:r>
        <w:t xml:space="preserve">(Geirhos et al. 2020; Ye et al. 2026; Bell and Wang 2024)</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1"/>
    <w:bookmarkEnd w:id="122"/>
    <w:bookmarkStart w:id="124"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1"/>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1"/>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3"/>
    <w:bookmarkStart w:id="125"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4"/>
    <w:bookmarkStart w:id="126"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7" w:name="fig:neuro_pipeline"/>
    <w:p xmlns:a="http://schemas.openxmlformats.org/drawingml/2006/main" xmlns:pic="http://schemas.openxmlformats.org/drawingml/2006/picture">
      <w:pPr>
        <w:pStyle w:val="CaptionedFigure"/>
        <w:keepNext/>
        <w:spacing w:before="160" w:after="80"/>
        <w:jc w:val="center"/>
      </w:pPr>
      <w:r>
        <w:drawing>
          <wp:inline>
            <wp:extent cx="6121400" cy="3110273"/>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110273"/>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5"/>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8"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6"/>
    <w:bookmarkStart w:id="129"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2"/>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2"/>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30"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7"/>
    <w:bookmarkEnd w:id="128"/>
    <w:bookmarkStart w:id="131"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3"/>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3"/>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3"/>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9"/>
    <w:bookmarkEnd w:id="130"/>
    <w:bookmarkStart w:id="132"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1"/>
    <w:bookmarkStart w:id="133"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2"/>
    <w:bookmarkStart w:id="134"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4"/>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4"/>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4"/>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4"/>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3"/>
    <w:bookmarkEnd w:id="134"/>
    <w:bookmarkStart w:id="135" w:name="ch:game_theory"/>
    <w:p>
      <w:pPr>
        <w:pStyle w:val="Heading1"/>
        <w:pageBreakBefore/>
        <w:spacing w:before="360" w:after="240"/>
      </w:pPr>
      <w:r>
        <w:t xml:space="preserve">Game-Theoretic Autonomous Defense and NP-Hardness of Edge-Severing</w:t>
      </w:r>
    </w:p>
    <w:bookmarkStart w:id="136"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5"/>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5"/>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5"/>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5"/>
    <w:bookmarkStart w:id="137"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8"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6"/>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6"/>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6"/>
    <w:bookmarkStart w:id="139"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7"/>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7"/>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7"/>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7"/>
        </w:numPr>
      </w:pPr>
      <m:oMath>
        <m:r>
          <m:t>β</m:t>
        </m:r>
        <m:r>
          <m:rPr>
            <m:sty m:val="p"/>
          </m:rPr>
          <m:t>≫</m:t>
        </m:r>
        <m:r>
          <m:t>1</m:t>
        </m:r>
      </m:oMath>
      <w:r>
        <w:t xml:space="preserve"> </w:t>
      </w:r>
      <w:r>
        <w:t xml:space="preserve">is an operational penalty applied for each forbidden compromise pair that remains reachable.</w:t>
      </w:r>
    </w:p>
    <w:p>
      <w:pPr>
        <w:numPr>
          <w:ilvl w:val="0"/>
          <w:numId w:val="77"/>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grounded in deceptive Active Directory defense models where traversing deceptive edges triggers detection alarms or maximizes incident response times </w:t>
      </w:r>
      <w:r>
        <w:t xml:space="preserve">(Ngo et al. 2023, 2024)</w:t>
      </w:r>
      <w:r>
        <w:t xml:space="preserve">.</w:t>
      </w:r>
    </w:p>
    <w:bookmarkEnd w:id="137"/>
    <w:bookmarkEnd w:id="138"/>
    <w:bookmarkStart w:id="140"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1" w:name="thm:nphardness"/>
      <w:bookmarkEnd w:id="139"/>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It is critical to distinguish this result from prior Active Directory interdiction hardness literature: Guo et al. </w:t>
      </w:r>
      <w:r>
        <w:t xml:space="preserve">(Guo et al. 2022, 2023)</w:t>
      </w:r>
      <w:r>
        <w:t xml:space="preserve"> </w:t>
      </w:r>
      <w:r>
        <w:t xml:space="preserve">studied</w:t>
      </w:r>
      <w:r>
        <w:t xml:space="preserve"> </w:t>
      </w:r>
      <w:r>
        <w:rPr>
          <w:i/>
          <w:iCs/>
        </w:rPr>
        <w:t xml:space="preserve">shortest-path</w:t>
      </w:r>
      <w:r>
        <w:t xml:space="preserve"> </w:t>
      </w:r>
      <w:r>
        <w:t xml:space="preserve">edge interdiction targeting a single destination (e.g., Domain Admin), establishing that maximizing the attacker’s shortest path is W[1]-hard (even though complete severance of a single target is solvable in polynomial time via classical</w:t>
      </w:r>
      <w:r>
        <w:t xml:space="preserve"> </w:t>
      </w:r>
      <m:oMath>
        <m:r>
          <m:rPr>
            <m:sty m:val="p"/>
          </m:rPr>
          <m:t>(</m:t>
        </m:r>
        <m:r>
          <m:t>S</m:t>
        </m:r>
        <m:r>
          <m:rPr>
            <m:sty m:val="p"/>
          </m:rPr>
          <m:t>,</m:t>
        </m:r>
        <m:r>
          <m:t>T</m:t>
        </m:r>
        <m:r>
          <m:rPr>
            <m:sty m:val="p"/>
          </m:rPr>
          <m:t>)</m:t>
        </m:r>
      </m:oMath>
      <w:r>
        <w:t xml:space="preserve"> </w:t>
      </w:r>
      <w:r>
        <w:t xml:space="preserve">min-cut). In contrast, Theorem </w:t>
      </w:r>
      <w:hyperlink w:anchor="thm:nphardness">
        <w:r>
          <w:rPr>
            <w:rStyle w:val="Hyperlink"/>
          </w:rPr>
          <w:t xml:space="preserve">[thm:nphardness]</w:t>
        </w:r>
      </w:hyperlink>
      <w:r>
        <w:t xml:space="preserve"> </w:t>
      </w:r>
      <w:r>
        <w:t xml:space="preserve">formalizes</w:t>
      </w:r>
      <w:r>
        <w:t xml:space="preserve"> </w:t>
      </w:r>
      <w:r>
        <w:rPr>
          <w:i/>
          <w:iCs/>
        </w:rPr>
        <w:t xml:space="preserve">Multi-Principal Access Interdiction (MPAI)</w:t>
      </w:r>
      <w:r>
        <w:t xml:space="preserve">, proving that complete reachability interdiction across</w:t>
      </w:r>
      <w:r>
        <w:t xml:space="preserve"> </w:t>
      </w:r>
      <m:oMath>
        <m:r>
          <m:t>k</m:t>
        </m:r>
        <m:r>
          <m:rPr>
            <m:sty m:val="p"/>
          </m:rPr>
          <m:t>≥</m:t>
        </m:r>
        <m:r>
          <m:t>3</m:t>
        </m:r>
      </m:oMath>
      <w:r>
        <w:t xml:space="preserve"> </w:t>
      </w:r>
      <w:r>
        <w:t xml:space="preserve">independent forbidden compromise pairs is NP-hard even on directed identity topologies.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40"/>
    <w:bookmarkStart w:id="142"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3"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Algorithm </w:t>
      </w:r>
      <w:hyperlink w:anchor="alg:greedy_sever">
        <w:r>
          <w:rPr>
            <w:rStyle w:val="Hyperlink"/>
          </w:rPr>
          <w:t xml:space="preserve">[alg:greedy_sever]</w:t>
        </w:r>
      </w:hyperlink>
      <w:r>
        <w:t xml:space="preserve"> </w:t>
      </w:r>
      <w:r>
        <w:t xml:space="preserve">provides an efficient polynomial-time greedy heuristic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While the optimal Directed Multiway Cut admits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LP-rounding approximation </w:t>
      </w:r>
      <w:r>
        <w:t xml:space="preserve">(Garg et al. 1994)</w:t>
      </w:r>
      <w:r>
        <w:t xml:space="preserve">, greedy edge-centrality interdiction is strongly motivated by practical Active Directory security studies (Ward, 2021 </w:t>
      </w:r>
      <w:r>
        <w:t xml:space="preserve">(Ward 2021)</w:t>
      </w:r>
      <w:r>
        <w:t xml:space="preserve">; Zhang et al., 2023 </w:t>
      </w:r>
      <w:r>
        <w:t xml:space="preserve">(Zhang et al. 2023)</w:t>
      </w:r>
      <w:r>
        <w:t xml:space="preserve">; Goel et al., 2024 </w:t>
      </w:r>
      <w:r>
        <w:t xml:space="preserve">(Goel, Ward, et al. 2024)</w:t>
      </w:r>
      <w:r>
        <w:t xml:space="preserve">), where tree-like identity structures allow greedy centrality heuristics and policy-search methods to achieve near-optimal path severance within practical execution budgets.</w:t>
      </w:r>
    </w:p>
    <w:bookmarkEnd w:id="141"/>
    <w:bookmarkEnd w:id="142"/>
    <w:bookmarkStart w:id="144"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5"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3"/>
    <w:bookmarkStart w:id="146"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4"/>
    <w:bookmarkStart w:id="147"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8"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5"/>
    <w:bookmarkStart w:id="149"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6"/>
    <w:bookmarkEnd w:id="147"/>
    <w:bookmarkEnd w:id="148"/>
    <w:bookmarkStart w:id="150" w:name="sec:game_simulation"/>
    <w:p>
      <w:pPr>
        <w:pStyle w:val="Heading2"/>
        <w:spacing w:before="280" w:after="120"/>
      </w:pPr>
      <w:r>
        <w:t xml:space="preserve">Defense Evaluation and Remediation Trade-offs</w:t>
      </w:r>
    </w:p>
    <w:bookmarkStart w:id="151" w:name="Xb35e3e1bb71a61c95ec86a2111813118e0ade8b"/>
    <w:p>
      <w:pPr>
        <w:pStyle w:val="Heading3"/>
      </w:pPr>
      <w:r>
        <w:t xml:space="preserve">Evaluation Protocol and Evaluated Topologies</w:t>
      </w:r>
    </w:p>
    <w:p>
      <w:pPr>
        <w:pStyle w:val="FirstParagraph"/>
      </w:pPr>
      <w:r>
        <w:t xml:space="preserve">To evaluate automated edge-interdiction defense strategies and characterize operational trade-offs, we employ a mixed methodology combining empirical graph algorithmic benchmarking with notional game-theoretic simulation:</w:t>
      </w:r>
    </w:p>
    <w:p>
      <w:pPr>
        <w:numPr>
          <w:ilvl w:val="0"/>
          <w:numId w:val="78"/>
        </w:numPr>
      </w:pPr>
      <w:r>
        <w:rPr>
          <w:b/>
          <w:bCs/>
        </w:rPr>
        <w:t xml:space="preserve">Empirical Benchmark Suite:</w:t>
      </w:r>
      <w:r>
        <w:t xml:space="preserve"> </w:t>
      </w:r>
      <w:r>
        <w:t xml:space="preserve">We evaluate the three algorithmic remediation strategies across</w:t>
      </w:r>
      <w:r>
        <w:t xml:space="preserve"> </w:t>
      </w:r>
      <w:r>
        <w:rPr>
          <w:b/>
          <w:bCs/>
        </w:rPr>
        <w:t xml:space="preserve">30 synthetic Active Directory topologies</w:t>
      </w:r>
      <w:r>
        <w:t xml:space="preserve"> </w:t>
      </w:r>
      <w:r>
        <w:t xml:space="preserve">spanning all core ADCS privilege escalation classes (ESC1, ESC2, ESC3, ESC4, ESC9, and ESC13). Evaluated topologies average</w:t>
      </w:r>
      <w:r>
        <w:t xml:space="preserve"> </w:t>
      </w:r>
      <m:oMath>
        <m:r>
          <m:t>80.8</m:t>
        </m:r>
      </m:oMath>
      <w:r>
        <w:t xml:space="preserve"> </w:t>
      </w:r>
      <w:r>
        <w:t xml:space="preserve">nodes,</w:t>
      </w:r>
      <w:r>
        <w:t xml:space="preserve"> </w:t>
      </w:r>
      <m:oMath>
        <m:r>
          <m:t>200.0</m:t>
        </m:r>
      </m:oMath>
      <w:r>
        <w:t xml:space="preserve"> </w:t>
      </w:r>
      <w:r>
        <w:t xml:space="preserve">access control edges, and</w:t>
      </w:r>
      <w:r>
        <w:t xml:space="preserve"> </w:t>
      </w:r>
      <m:oMath>
        <m:r>
          <m:t>52.4</m:t>
        </m:r>
      </m:oMath>
      <w:r>
        <w:t xml:space="preserve"> </w:t>
      </w:r>
      <w:r>
        <w:t xml:space="preserve">reachable unprivileged-to-administrative compromise paths, incorporating realistic group nesting and enrollment delegations.</w:t>
      </w:r>
    </w:p>
    <w:p>
      <w:pPr>
        <w:numPr>
          <w:ilvl w:val="0"/>
          <w:numId w:val="78"/>
        </w:numPr>
      </w:pPr>
      <w:r>
        <w:rPr>
          <w:b/>
          <w:bCs/>
        </w:rPr>
        <w:t xml:space="preserve">Statistical Replication:</w:t>
      </w:r>
      <w:r>
        <w:t xml:space="preserve"> </w:t>
      </w:r>
      <w:r>
        <w:t xml:space="preserve">Algorithmic evaluations are conducted across disruption budgets</w:t>
      </w:r>
      <w:r>
        <w:t xml:space="preserve"> </w:t>
      </w:r>
      <m:oMath>
        <m:sSub>
          <m:e>
            <m:r>
              <m:t>B</m:t>
            </m:r>
          </m:e>
          <m:sub>
            <m:r>
              <m:rPr>
                <m:nor/>
                <m:sty m:val="p"/>
              </m:rPr>
              <m:t>ops</m:t>
            </m:r>
          </m:sub>
        </m:sSub>
        <m:r>
          <m:rPr>
            <m:sty m:val="p"/>
          </m:rPr>
          <m:t>∈</m:t>
        </m:r>
        <m:r>
          <m:rPr>
            <m:sty m:val="p"/>
          </m:rPr>
          <m:t>{</m:t>
        </m:r>
        <m:r>
          <m:t>6</m:t>
        </m:r>
        <m:r>
          <m:rPr>
            <m:sty m:val="p"/>
          </m:rPr>
          <m:t>,</m:t>
        </m:r>
        <m:r>
          <m:t>12</m:t>
        </m:r>
        <m:r>
          <m:rPr>
            <m:sty m:val="p"/>
          </m:rPr>
          <m:t>,</m:t>
        </m:r>
        <m:r>
          <m:t>18</m:t>
        </m:r>
        <m:r>
          <m:rPr>
            <m:sty m:val="p"/>
          </m:rPr>
          <m:t>,</m:t>
        </m:r>
        <m:r>
          <m:t>24</m:t>
        </m:r>
        <m:r>
          <m:rPr>
            <m:sty m:val="p"/>
          </m:rPr>
          <m:t>}</m:t>
        </m:r>
      </m:oMath>
      <w:r>
        <w:t xml:space="preserve">, reporting empirical means and standard deviations across all topologies (with 5 stochastic replications for randomized edge selection).</w:t>
      </w:r>
    </w:p>
    <w:p>
      <w:pPr>
        <w:numPr>
          <w:ilvl w:val="0"/>
          <w:numId w:val="78"/>
        </w:numPr>
      </w:pPr>
      <w:r>
        <w:rPr>
          <w:b/>
          <w:bCs/>
        </w:rPr>
        <w:t xml:space="preserve">Notional MARL Reference Model:</w:t>
      </w:r>
      <w:r>
        <w:t xml:space="preserve"> </w:t>
      </w:r>
      <w:r>
        <w:t xml:space="preserve">To illustrate the theoretical potential of co-adaptive learning (§</w:t>
      </w:r>
      <w:hyperlink w:anchor="sec:marl_architecture">
        <w:r>
          <w:rPr>
            <w:rStyle w:val="Hyperlink"/>
          </w:rPr>
          <w:t xml:space="preserve">9.5.3</w:t>
        </w:r>
      </w:hyperlink>
      <w:r>
        <w:t xml:space="preserve">), we provide a notional numerical simulation of the two-timescale Stackelberg formulation. As noted in Section </w:t>
      </w:r>
      <w:hyperlink w:anchor="sec:future_work">
        <w:r>
          <w:rPr>
            <w:rStyle w:val="Hyperlink"/>
          </w:rPr>
          <w:t xml:space="preserve">10.6</w:t>
        </w:r>
      </w:hyperlink>
      <w:r>
        <w:t xml:space="preserve">, deploying and benchmarking this full reinforcement learning pipeline within live virtualized cyber ranges is an objective for future engineering work.</w:t>
      </w:r>
    </w:p>
    <w:bookmarkEnd w:id="149"/>
    <w:bookmarkStart w:id="152" w:name="comparative-defense-baselines"/>
    <w:p>
      <w:pPr>
        <w:pStyle w:val="Heading3"/>
      </w:pPr>
      <w:r>
        <w:t xml:space="preserve">Comparative Defense Baselines</w:t>
      </w:r>
    </w:p>
    <w:p>
      <w:pPr>
        <w:pStyle w:val="FirstParagraph"/>
      </w:pPr>
      <w:r>
        <w:t xml:space="preserve">We compare four remediation strategies:</w:t>
      </w:r>
    </w:p>
    <w:p>
      <w:pPr>
        <w:numPr>
          <w:ilvl w:val="0"/>
          <w:numId w:val="79"/>
        </w:numPr>
      </w:pPr>
      <w:r>
        <w:rPr>
          <w:b/>
          <w:bCs/>
        </w:rPr>
        <w:t xml:space="preserve">Uniform Random Revocation (Measured Baseline):</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9"/>
        </w:numPr>
      </w:pPr>
      <w:r>
        <w:rPr>
          <w:b/>
          <w:bCs/>
        </w:rPr>
        <w:t xml:space="preserve">Degree-Centrality Revocation (Measured Baseline):</w:t>
      </w:r>
      <w:r>
        <w:t xml:space="preserve"> </w:t>
      </w:r>
      <w:r>
        <w:t xml:space="preserve">Greedily revokes edges incident to nodes possessing the highest total degree (in-degree + out-degree).</w:t>
      </w:r>
    </w:p>
    <w:p>
      <w:pPr>
        <w:numPr>
          <w:ilvl w:val="0"/>
          <w:numId w:val="79"/>
        </w:numPr>
      </w:pPr>
      <w:r>
        <w:rPr>
          <w:b/>
          <w:bCs/>
        </w:rPr>
        <w:t xml:space="preserve">Greedy Capacity-Disruption Heuristic (Algorithm </w:t>
      </w:r>
      <w:hyperlink w:anchor="alg:greedy_sever">
        <w:r>
          <w:rPr>
            <w:rStyle w:val="Hyperlink"/>
            <w:b/>
            <w:bCs/>
          </w:rPr>
          <w:t xml:space="preserve">[alg:greedy_sever]</w:t>
        </w:r>
      </w:hyperlink>
      <w:r>
        <w:rPr>
          <w:b/>
          <w:bCs/>
        </w:rPr>
        <w:t xml:space="preserve">) (Measured Algorithm):</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9"/>
        </w:numPr>
      </w:pPr>
      <w:r>
        <w:rPr>
          <w:b/>
          <w:bCs/>
        </w:rPr>
        <w:t xml:space="preserve">Stackelberg Co-Adaptive Policy (Notional / Theoretical Reference Model):</w:t>
      </w:r>
      <w:r>
        <w:t xml:space="preserve"> </w:t>
      </w:r>
      <w:r>
        <w:t xml:space="preserve">Notional reference trajectory illustrating the prospective performance of two-timescale multi-agent reinforcement learning optimizing regularized utility</w:t>
      </w:r>
      <w:r>
        <w:t xml:space="preserve"> </w:t>
      </w:r>
      <m:oMath>
        <m:sSub>
          <m:e>
            <m:r>
              <m:t>U</m:t>
            </m:r>
          </m:e>
          <m:sub>
            <m:r>
              <m:t>D</m:t>
            </m:r>
          </m:sub>
        </m:sSub>
      </m:oMath>
      <w:r>
        <w:t xml:space="preserve">.</w:t>
      </w:r>
    </w:p>
    <w:bookmarkStart w:id="153" w:name="fig:game_sim"/>
    <w:p xmlns:a="http://schemas.openxmlformats.org/drawingml/2006/main" xmlns:pic="http://schemas.openxmlformats.org/drawingml/2006/picture">
      <w:pPr>
        <w:pStyle w:val="CaptionedFigure"/>
        <w:keepNext/>
        <w:spacing w:before="160" w:after="80"/>
        <w:jc w:val="center"/>
      </w:pPr>
      <w:r>
        <w:drawing>
          <wp:inline>
            <wp:extent cx="6121400" cy="2722023"/>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6121400" cy="2722023"/>
                    </a:xfrm>
                    <a:prstGeom prst="rect">
                      <a:avLst/>
                    </a:prstGeom>
                    <a:noFill/>
                    <a:ln w="9525">
                      <a:noFill/>
                      <a:headEnd/>
                      <a:tailEnd/>
                    </a:ln>
                  </pic:spPr>
                </pic:pic>
              </a:graphicData>
            </a:graphic>
          </wp:inline>
        </w:drawing>
      </w:r>
    </w:p>
    <w:p>
      <w:pPr>
        <w:pStyle w:val="ImageCaption"/>
      </w:pPr>
      <w:r>
        <w:t xml:space="preserve">Autonomous cyber defense evaluation: (a) Notional two-timescale policy learning dynamics showing asymptotic decay of defender policy loss and gradient norm under the stochastic approximation framework. (b) Forbidden compromise path neutralization rate as a function of operational disruption budget</w:t>
      </w:r>
      <w:r>
        <w:t xml:space="preserve"> </w:t>
      </w:r>
      <m:oMath>
        <m:sSub>
          <m:e>
            <m:r>
              <m:t>B</m:t>
            </m:r>
          </m:e>
          <m:sub>
            <m:r>
              <m:rPr>
                <m:nor/>
                <m:sty m:val="p"/>
              </m:rPr>
              <m:t>ops</m:t>
            </m:r>
          </m:sub>
        </m:sSub>
      </m:oMath>
      <w:r>
        <w:t xml:space="preserve">, comparing measured empirical performance for Uniform Random, Degree-Centrality, and Greedy Capacity-Disruption (Alg. </w:t>
      </w:r>
      <w:hyperlink w:anchor="alg:greedy_sever">
        <w:r>
          <w:rPr>
            <w:rStyle w:val="Hyperlink"/>
          </w:rPr>
          <w:t xml:space="preserve">[alg:greedy_sever]</w:t>
        </w:r>
      </w:hyperlink>
      <w:r>
        <w:t xml:space="preserve">) across 30 Active Directory topologies against the notional trajectory of the co-adaptive Stackelberg model. Shaded bands denote</w:t>
      </w:r>
      <w:r>
        <w:t xml:space="preserve"> </w:t>
      </w:r>
      <m:oMath>
        <m:r>
          <m:rPr>
            <m:sty m:val="p"/>
          </m:rPr>
          <m:t>±</m:t>
        </m:r>
        <m:r>
          <m:t>1</m:t>
        </m:r>
      </m:oMath>
      <w:r>
        <w:t xml:space="preserve"> </w:t>
      </w:r>
      <w:r>
        <w:t xml:space="preserve">standard deviation.</w:t>
      </w:r>
    </w:p>
    <w:bookmarkEnd w:id="150"/>
    <w:p>
      <w:pPr>
        <w:keepNext/>
        <w:spacing w:before="280" w:after="120"/>
        <w:jc w:val="center"/>
      </w:pPr>
      <w:r>
        <w:rPr>
          <w:rFonts w:ascii="Times New Roman" w:hAnsi="Times New Roman"/>
          <w:b/>
          <w:sz w:val="20"/>
        </w:rPr>
        <w:t xml:space="preserve">Table 18: </w:t>
      </w:r>
      <w:r>
        <w:rPr>
          <w:rFonts w:ascii="Times New Roman" w:hAnsi="Times New Roman"/>
          <w:sz w:val="20"/>
        </w:rPr>
        <w:t>Evaluation of autonomous edge-interdiction defense policies across 30 synthetic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552"/>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17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17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$3.9 ± 2.0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$7.7 ± 3.0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$10.8 ± 3.4</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$14.2 ± 4.5</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$15.7 ± 14.4</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$22.7 ± 15.2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$28.8 ± 15.7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$34.9 ± 18.0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$mathbf31.2 ± 12.7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$mathbf43.7 ± 11.2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$mathbf56.2 ± 10.8</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$mathbf68.6 ± 11.7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(Notional)textsuperscripttextdagger</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[68.3</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[96.2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[100.0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[100.0</w:t>
            </w:r>
          </w:p>
        </w:tc>
      </w:tr>
    </w:tbl>
    <w:bookmarkEnd w:id="151"/>
    <w:bookmarkStart w:id="154" w:name="sec:defense_findings"/>
    <w:p>
      <w:pPr>
        <w:pStyle w:val="Heading3"/>
      </w:pPr>
      <w:r>
        <w:t xml:space="preserve">Analysis of Operational Findings</w:t>
      </w:r>
    </w:p>
    <w:p>
      <w:pPr>
        <w:pStyle w:val="FirstParagraph"/>
      </w:pPr>
      <w:r>
        <w:t xml:space="preserve">The measured empirical results and notional simulation trajectories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80"/>
        </w:numPr>
      </w:pPr>
      <w:r>
        <w:rPr>
          <w:b/>
          <w:bCs/>
        </w:rPr>
        <w:t xml:space="preserve">Measured Superiority of Path-Centric Greedy Severing:</w:t>
      </w:r>
      <w:r>
        <w:t xml:space="preserve"> </w:t>
      </w:r>
      <w:r>
        <w:t xml:space="preserve">We measured that Greedy Capacity-Disruption (Algorithm </w:t>
      </w:r>
      <w:hyperlink w:anchor="alg:greedy_sever">
        <w:r>
          <w:rPr>
            <w:rStyle w:val="Hyperlink"/>
          </w:rPr>
          <w:t xml:space="preserve">[alg:greedy_sever]</w:t>
        </w:r>
      </w:hyperlink>
      <w:r>
        <w:t xml:space="preserve">) systematically outperforms degree centrality, severing</w:t>
      </w:r>
      <w:r>
        <w:t xml:space="preserve"> </w:t>
      </w:r>
      <m:oMath>
        <m:r>
          <m:t>31.2</m:t>
        </m:r>
        <m:r>
          <m:rPr>
            <m:sty m:val="p"/>
          </m:rPr>
          <m:t>±</m:t>
        </m:r>
        <m:r>
          <m:t>12.7</m:t>
        </m:r>
        <m:r>
          <m:rPr>
            <m:sty m:val="p"/>
          </m:rPr>
          <m:t>%</m:t>
        </m:r>
      </m:oMath>
      <w:r>
        <w:t xml:space="preserve"> </w:t>
      </w:r>
      <w:r>
        <w:t xml:space="preserve">of paths at</w:t>
      </w:r>
      <w:r>
        <w:t xml:space="preserve"> </w:t>
      </w:r>
      <m:oMath>
        <m:sSub>
          <m:e>
            <m:r>
              <m:t>B</m:t>
            </m:r>
          </m:e>
          <m:sub>
            <m:r>
              <m:rPr>
                <m:nor/>
                <m:sty m:val="p"/>
              </m:rPr>
              <m:t>ops</m:t>
            </m:r>
          </m:sub>
        </m:sSub>
        <m:r>
          <m:rPr>
            <m:sty m:val="p"/>
          </m:rPr>
          <m:t>=</m:t>
        </m:r>
        <m:r>
          <m:t>6</m:t>
        </m:r>
      </m:oMath>
      <w:r>
        <w:t xml:space="preserve"> </w:t>
      </w:r>
      <w:r>
        <w:t xml:space="preserve">and scaling to</w:t>
      </w:r>
      <w:r>
        <w:t xml:space="preserve"> </w:t>
      </w:r>
      <m:oMath>
        <m:r>
          <m:t>68.6</m:t>
        </m:r>
        <m:r>
          <m:rPr>
            <m:sty m:val="p"/>
          </m:rPr>
          <m:t>±</m:t>
        </m:r>
        <m:r>
          <m:t>11.7</m:t>
        </m:r>
        <m:r>
          <m:rPr>
            <m:sty m:val="p"/>
          </m:rPr>
          <m:t>%</m:t>
        </m:r>
      </m:oMath>
      <w:r>
        <w:t xml:space="preserve"> </w:t>
      </w:r>
      <w:r>
        <w:t xml:space="preserve">at</w:t>
      </w:r>
      <w:r>
        <w:t xml:space="preserve"> </w:t>
      </w:r>
      <m:oMath>
        <m:sSub>
          <m:e>
            <m:r>
              <m:t>B</m:t>
            </m:r>
          </m:e>
          <m:sub>
            <m:r>
              <m:rPr>
                <m:nor/>
                <m:sty m:val="p"/>
              </m:rPr>
              <m:t>ops</m:t>
            </m:r>
          </m:sub>
        </m:sSub>
        <m:r>
          <m:rPr>
            <m:sty m:val="p"/>
          </m:rPr>
          <m:t>=</m:t>
        </m:r>
        <m:r>
          <m:t>24</m:t>
        </m:r>
      </m:oMath>
      <w:r>
        <w:t xml:space="preserve">. Rather than blindly revoking permissions incident to prominent nodes, the greedy heuristic prioritizes high-centrality structural bottlenecks: revoking intermediate delegation edges that participate in multiple overlapping attack chains. Paired hypothesis testing across all 30 topologies confirms that Algorithm </w:t>
      </w:r>
      <w:hyperlink w:anchor="alg:greedy_sever">
        <w:r>
          <w:rPr>
            <w:rStyle w:val="Hyperlink"/>
          </w:rPr>
          <w:t xml:space="preserve">[alg:greedy_sever]</w:t>
        </w:r>
      </w:hyperlink>
      <w:r>
        <w:t xml:space="preserve"> </w:t>
      </w:r>
      <w:r>
        <w:t xml:space="preserve">statistically significantly outperforms the degree-centrality baseline at every evaluated disruption budget: at</w:t>
      </w:r>
      <w:r>
        <w:t xml:space="preserve"> </w:t>
      </w:r>
      <m:oMath>
        <m:sSub>
          <m:e>
            <m:r>
              <m:t>B</m:t>
            </m:r>
          </m:e>
          <m:sub>
            <m:r>
              <m:rPr>
                <m:nor/>
                <m:sty m:val="p"/>
              </m:rPr>
              <m:t>ops</m:t>
            </m:r>
          </m:sub>
        </m:sSub>
        <m:r>
          <m:rPr>
            <m:sty m:val="p"/>
          </m:rPr>
          <m:t>=</m:t>
        </m:r>
        <m:r>
          <m:t>6</m:t>
        </m:r>
      </m:oMath>
      <w:r>
        <w:t xml:space="preserve"> </w:t>
      </w:r>
      <w:r>
        <w:t xml:space="preserve">(paired</w:t>
      </w:r>
      <w:r>
        <w:t xml:space="preserve"> </w:t>
      </w:r>
      <m:oMath>
        <m:r>
          <m:t>t</m:t>
        </m:r>
        <m:r>
          <m:rPr>
            <m:sty m:val="p"/>
          </m:rPr>
          <m:t>(</m:t>
        </m:r>
        <m:r>
          <m:t>29</m:t>
        </m:r>
        <m:r>
          <m:rPr>
            <m:sty m:val="p"/>
          </m:rPr>
          <m:t>)</m:t>
        </m:r>
        <m:r>
          <m:rPr>
            <m:sty m:val="p"/>
          </m:rPr>
          <m:t>=</m:t>
        </m:r>
        <m:r>
          <m:t>8.50</m:t>
        </m:r>
        <m:r>
          <m:rPr>
            <m:sty m:val="p"/>
          </m:rPr>
          <m:t>,</m:t>
        </m:r>
        <m:r>
          <m:t>p</m:t>
        </m:r>
        <m:r>
          <m:rPr>
            <m:sty m:val="p"/>
          </m:rPr>
          <m:t>=</m:t>
        </m:r>
        <m:r>
          <m:t>2.30</m:t>
        </m:r>
        <m:r>
          <m:rPr>
            <m:sty m:val="p"/>
          </m:rPr>
          <m:t>×</m:t>
        </m:r>
        <m:sSup>
          <m:e>
            <m:r>
              <m:t>10</m:t>
            </m:r>
          </m:e>
          <m:sup>
            <m:r>
              <m:rPr>
                <m:sty m:val="p"/>
              </m:rPr>
              <m:t>−</m:t>
            </m:r>
            <m:r>
              <m:t>9</m:t>
            </m:r>
          </m:sup>
        </m:sSup>
      </m:oMath>
      <w:r>
        <w:t xml:space="preserve">; Wilcoxon signed-rank</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 at</w:t>
      </w:r>
      <w:r>
        <w:t xml:space="preserve"> </w:t>
      </w:r>
      <m:oMath>
        <m:sSub>
          <m:e>
            <m:r>
              <m:t>B</m:t>
            </m:r>
          </m:e>
          <m:sub>
            <m:r>
              <m:rPr>
                <m:nor/>
                <m:sty m:val="p"/>
              </m:rPr>
              <m:t>ops</m:t>
            </m:r>
          </m:sub>
        </m:sSub>
        <m:r>
          <m:rPr>
            <m:sty m:val="p"/>
          </m:rPr>
          <m:t>=</m:t>
        </m:r>
        <m:r>
          <m:t>12</m:t>
        </m:r>
      </m:oMath>
      <w:r>
        <w:t xml:space="preserve"> </w:t>
      </w:r>
      <w:r>
        <w:t xml:space="preserve">(</w:t>
      </w:r>
      <m:oMath>
        <m:r>
          <m:t>t</m:t>
        </m:r>
        <m:r>
          <m:rPr>
            <m:sty m:val="p"/>
          </m:rPr>
          <m:t>(</m:t>
        </m:r>
        <m:r>
          <m:t>29</m:t>
        </m:r>
        <m:r>
          <m:rPr>
            <m:sty m:val="p"/>
          </m:rPr>
          <m:t>)</m:t>
        </m:r>
        <m:r>
          <m:rPr>
            <m:sty m:val="p"/>
          </m:rPr>
          <m:t>=</m:t>
        </m:r>
        <m:r>
          <m:t>9.61</m:t>
        </m:r>
        <m:r>
          <m:rPr>
            <m:sty m:val="p"/>
          </m:rPr>
          <m:t>,</m:t>
        </m:r>
        <m:r>
          <m:t>p</m:t>
        </m:r>
        <m:r>
          <m:rPr>
            <m:sty m:val="p"/>
          </m:rPr>
          <m:t>=</m:t>
        </m:r>
        <m:r>
          <m:t>1.60</m:t>
        </m:r>
        <m:r>
          <m:rPr>
            <m:sty m:val="p"/>
          </m:rPr>
          <m:t>×</m:t>
        </m:r>
        <m:sSup>
          <m:e>
            <m:r>
              <m:t>10</m:t>
            </m:r>
          </m:e>
          <m:sup>
            <m:r>
              <m:rPr>
                <m:sty m:val="p"/>
              </m:rPr>
              <m:t>−</m:t>
            </m:r>
            <m:r>
              <m:t>10</m:t>
            </m:r>
          </m:sup>
        </m:sSup>
      </m:oMath>
      <w:r>
        <w:t xml:space="preserve">;</w:t>
      </w:r>
      <w:r>
        <w:t xml:space="preserve"> </w:t>
      </w:r>
      <m:oMath>
        <m:r>
          <m:t>W</m:t>
        </m:r>
        <m:r>
          <m:rPr>
            <m:sty m:val="p"/>
          </m:rPr>
          <m:t>=</m:t>
        </m:r>
        <m:r>
          <m:t>0.0</m:t>
        </m:r>
        <m:r>
          <m:rPr>
            <m:sty m:val="p"/>
          </m:rPr>
          <m:t>,</m:t>
        </m:r>
        <m:r>
          <m:t>p</m:t>
        </m:r>
        <m:r>
          <m:rPr>
            <m:sty m:val="p"/>
          </m:rPr>
          <m:t>=</m:t>
        </m:r>
        <m:r>
          <m:t>1.73</m:t>
        </m:r>
        <m:r>
          <m:rPr>
            <m:sty m:val="p"/>
          </m:rPr>
          <m:t>×</m:t>
        </m:r>
        <m:sSup>
          <m:e>
            <m:r>
              <m:t>10</m:t>
            </m:r>
          </m:e>
          <m:sup>
            <m:r>
              <m:rPr>
                <m:sty m:val="p"/>
              </m:rPr>
              <m:t>−</m:t>
            </m:r>
            <m:r>
              <m:t>6</m:t>
            </m:r>
          </m:sup>
        </m:sSup>
      </m:oMath>
      <w:r>
        <w:t xml:space="preserve">), at</w:t>
      </w:r>
      <w:r>
        <w:t xml:space="preserve"> </w:t>
      </w:r>
      <m:oMath>
        <m:sSub>
          <m:e>
            <m:r>
              <m:t>B</m:t>
            </m:r>
          </m:e>
          <m:sub>
            <m:r>
              <m:rPr>
                <m:nor/>
                <m:sty m:val="p"/>
              </m:rPr>
              <m:t>ops</m:t>
            </m:r>
          </m:sub>
        </m:sSub>
        <m:r>
          <m:rPr>
            <m:sty m:val="p"/>
          </m:rPr>
          <m:t>=</m:t>
        </m:r>
        <m:r>
          <m:t>18</m:t>
        </m:r>
      </m:oMath>
      <w:r>
        <w:t xml:space="preserve"> </w:t>
      </w:r>
      <w:r>
        <w:t xml:space="preserve">(</w:t>
      </w:r>
      <m:oMath>
        <m:r>
          <m:t>t</m:t>
        </m:r>
        <m:r>
          <m:rPr>
            <m:sty m:val="p"/>
          </m:rPr>
          <m:t>(</m:t>
        </m:r>
        <m:r>
          <m:t>29</m:t>
        </m:r>
        <m:r>
          <m:rPr>
            <m:sty m:val="p"/>
          </m:rPr>
          <m:t>)</m:t>
        </m:r>
        <m:r>
          <m:rPr>
            <m:sty m:val="p"/>
          </m:rPr>
          <m:t>=</m:t>
        </m:r>
        <m:r>
          <m:t>9.87</m:t>
        </m:r>
        <m:r>
          <m:rPr>
            <m:sty m:val="p"/>
          </m:rPr>
          <m:t>,</m:t>
        </m:r>
        <m:r>
          <m:t>p</m:t>
        </m:r>
        <m:r>
          <m:rPr>
            <m:sty m:val="p"/>
          </m:rPr>
          <m:t>=</m:t>
        </m:r>
        <m:r>
          <m:t>8.89</m:t>
        </m:r>
        <m:r>
          <m:rPr>
            <m:sty m:val="p"/>
          </m:rPr>
          <m:t>×</m:t>
        </m:r>
        <m:sSup>
          <m:e>
            <m:r>
              <m:t>10</m:t>
            </m:r>
          </m:e>
          <m:sup>
            <m:r>
              <m:rPr>
                <m:sty m:val="p"/>
              </m:rPr>
              <m:t>−</m:t>
            </m:r>
            <m:r>
              <m:t>11</m:t>
            </m:r>
          </m:sup>
        </m:sSup>
      </m:oMath>
      <w:r>
        <w:t xml:space="preserve">;</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 and at</w:t>
      </w:r>
      <w:r>
        <w:t xml:space="preserve"> </w:t>
      </w:r>
      <m:oMath>
        <m:sSub>
          <m:e>
            <m:r>
              <m:t>B</m:t>
            </m:r>
          </m:e>
          <m:sub>
            <m:r>
              <m:rPr>
                <m:nor/>
                <m:sty m:val="p"/>
              </m:rPr>
              <m:t>ops</m:t>
            </m:r>
          </m:sub>
        </m:sSub>
        <m:r>
          <m:rPr>
            <m:sty m:val="p"/>
          </m:rPr>
          <m:t>=</m:t>
        </m:r>
        <m:r>
          <m:t>24</m:t>
        </m:r>
      </m:oMath>
      <w:r>
        <w:t xml:space="preserve"> </w:t>
      </w:r>
      <w:r>
        <w:t xml:space="preserve">(</w:t>
      </w:r>
      <m:oMath>
        <m:r>
          <m:t>t</m:t>
        </m:r>
        <m:r>
          <m:rPr>
            <m:sty m:val="p"/>
          </m:rPr>
          <m:t>(</m:t>
        </m:r>
        <m:r>
          <m:t>29</m:t>
        </m:r>
        <m:r>
          <m:rPr>
            <m:sty m:val="p"/>
          </m:rPr>
          <m:t>)</m:t>
        </m:r>
        <m:r>
          <m:rPr>
            <m:sty m:val="p"/>
          </m:rPr>
          <m:t>=</m:t>
        </m:r>
        <m:r>
          <m:t>10.27</m:t>
        </m:r>
        <m:r>
          <m:rPr>
            <m:sty m:val="p"/>
          </m:rPr>
          <m:t>,</m:t>
        </m:r>
        <m:r>
          <m:t>p</m:t>
        </m:r>
        <m:r>
          <m:rPr>
            <m:sty m:val="p"/>
          </m:rPr>
          <m:t>=</m:t>
        </m:r>
        <m:r>
          <m:t>3.57</m:t>
        </m:r>
        <m:r>
          <m:rPr>
            <m:sty m:val="p"/>
          </m:rPr>
          <m:t>×</m:t>
        </m:r>
        <m:sSup>
          <m:e>
            <m:r>
              <m:t>10</m:t>
            </m:r>
          </m:e>
          <m:sup>
            <m:r>
              <m:rPr>
                <m:sty m:val="p"/>
              </m:rPr>
              <m:t>−</m:t>
            </m:r>
            <m:r>
              <m:t>11</m:t>
            </m:r>
          </m:sup>
        </m:sSup>
      </m:oMath>
      <w:r>
        <w:t xml:space="preserve">;</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w:t>
      </w:r>
    </w:p>
    <w:p>
      <w:pPr>
        <w:numPr>
          <w:ilvl w:val="0"/>
          <w:numId w:val="80"/>
        </w:numPr>
      </w:pPr>
      <w:r>
        <w:rPr>
          <w:b/>
          <w:bCs/>
        </w:rPr>
        <w:t xml:space="preserve">Plateau of Local Degree Heuristics:</w:t>
      </w:r>
      <w:r>
        <w:t xml:space="preserve"> </w:t>
      </w:r>
      <w:r>
        <w:t xml:space="preserve">We measured that degree-centrality revocation plateaus at</w:t>
      </w:r>
      <w:r>
        <w:t xml:space="preserve"> </w:t>
      </w:r>
      <m:oMath>
        <m:r>
          <m:t>34.9</m:t>
        </m:r>
        <m:r>
          <m:rPr>
            <m:sty m:val="p"/>
          </m:rPr>
          <m:t>±</m:t>
        </m:r>
        <m:r>
          <m:t>18.0</m:t>
        </m:r>
        <m:r>
          <m:rPr>
            <m:sty m:val="p"/>
          </m:rPr>
          <m:t>%</m:t>
        </m:r>
      </m:oMath>
      <w:r>
        <w:t xml:space="preserve"> </w:t>
      </w:r>
      <w:r>
        <w:t xml:space="preserve">path severing at</w:t>
      </w:r>
      <w:r>
        <w:t xml:space="preserve"> </w:t>
      </w:r>
      <m:oMath>
        <m:sSub>
          <m:e>
            <m:r>
              <m:t>B</m:t>
            </m:r>
          </m:e>
          <m:sub>
            <m:r>
              <m:rPr>
                <m:nor/>
                <m:sty m:val="p"/>
              </m:rPr>
              <m:t>ops</m:t>
            </m:r>
          </m:sub>
        </m:sSub>
        <m:r>
          <m:rPr>
            <m:sty m:val="p"/>
          </m:rPr>
          <m:t>=</m:t>
        </m:r>
        <m:r>
          <m:t>24</m:t>
        </m:r>
      </m:oMath>
      <w:r>
        <w:t xml:space="preserve">, achieving roughly half the severance efficiency of Algorithm </w:t>
      </w:r>
      <w:hyperlink w:anchor="alg:greedy_sever">
        <w:r>
          <w:rPr>
            <w:rStyle w:val="Hyperlink"/>
          </w:rPr>
          <w:t xml:space="preserve">[alg:greedy_sever]</w:t>
        </w:r>
      </w:hyperlink>
      <w:r>
        <w:t xml:space="preserve">. High-degree directory objects (e.g., generic distribution groups or broad organizational units) participate heavily in benign traffic but rarely sit on minimal cutsets of privilege escalation paths. Uniform random revocation performs poorly, severing only</w:t>
      </w:r>
      <w:r>
        <w:t xml:space="preserve"> </w:t>
      </w:r>
      <m:oMath>
        <m:r>
          <m:t>14.2</m:t>
        </m:r>
        <m:r>
          <m:rPr>
            <m:sty m:val="p"/>
          </m:rPr>
          <m:t>±</m:t>
        </m:r>
        <m:r>
          <m:t>4.5</m:t>
        </m:r>
        <m:r>
          <m:rPr>
            <m:sty m:val="p"/>
          </m:rPr>
          <m:t>%</m:t>
        </m:r>
      </m:oMath>
      <w:r>
        <w:t xml:space="preserve"> </w:t>
      </w:r>
      <w:r>
        <w:t xml:space="preserve">at maximum budget.</w:t>
      </w:r>
    </w:p>
    <w:p>
      <w:pPr>
        <w:numPr>
          <w:ilvl w:val="0"/>
          <w:numId w:val="80"/>
        </w:numPr>
      </w:pPr>
      <w:r>
        <w:rPr>
          <w:b/>
          <w:bCs/>
        </w:rPr>
        <w:t xml:space="preserve">Illustrative Potential of Co-Adaptive Learning:</w:t>
      </w:r>
      <w:r>
        <w:t xml:space="preserve"> </w:t>
      </w:r>
      <w:r>
        <w:t xml:space="preserve">The notional Stackelberg model illustrates how a co-adaptive reinforcement learning agent can theoretically achieve complete path neutralization by dynamically tracking adversarial policy shifts. Under regularized utility, the notional model converges within 175–250 training episodes, illustrating asymptotic saturation of path interdiction. Validating these co-adaptive dynamics and measuring empirical operational budget compliance in live multi-forest testbeds remains a compelling direction for future research (§</w:t>
      </w:r>
      <w:hyperlink w:anchor="sec:future_work">
        <w:r>
          <w:rPr>
            <w:rStyle w:val="Hyperlink"/>
          </w:rPr>
          <w:t xml:space="preserve">10.6</w:t>
        </w:r>
      </w:hyperlink>
      <w:r>
        <w:t xml:space="preserve">).</w:t>
      </w:r>
    </w:p>
    <w:bookmarkEnd w:id="152"/>
    <w:bookmarkEnd w:id="153"/>
    <w:bookmarkEnd w:id="154"/>
    <w:bookmarkStart w:id="155" w:name="ch:conclusion"/>
    <w:p>
      <w:pPr>
        <w:pStyle w:val="Heading1"/>
        <w:pageBreakBefore/>
        <w:spacing w:before="360" w:after="240"/>
      </w:pPr>
      <w:r>
        <w:t xml:space="preserve">Conclusion, Limitations, and Future Horizons</w:t>
      </w:r>
    </w:p>
    <w:bookmarkStart w:id="156"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7" w:name="theoretical-contributions"/>
    <w:p>
      <w:pPr>
        <w:pStyle w:val="Heading3"/>
      </w:pPr>
      <w:r>
        <w:t xml:space="preserve">Theoretical Contributions</w:t>
      </w:r>
    </w:p>
    <w:p>
      <w:pPr>
        <w:keepNext/>
        <w:numPr>
          <w:ilvl w:val="0"/>
          <w:numId w:val="81"/>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1"/>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1"/>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generalizing the single-target shortest-path interdiction formulations studied in Active Directory defense </w:t>
      </w:r>
      <w:r>
        <w:t xml:space="preserve">(Guo et al. 2022, 2023)</w:t>
      </w:r>
      <w:r>
        <w:t xml:space="preserve">.</w:t>
      </w:r>
    </w:p>
    <w:bookmarkEnd w:id="155"/>
    <w:bookmarkStart w:id="158" w:name="methodological-contributions"/>
    <w:p>
      <w:pPr>
        <w:pStyle w:val="Heading3"/>
      </w:pPr>
      <w:r>
        <w:t xml:space="preserve">Methodological Contributions</w:t>
      </w:r>
    </w:p>
    <w:p>
      <w:pPr>
        <w:numPr>
          <w:ilvl w:val="0"/>
          <w:numId w:val="82"/>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2"/>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2"/>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6"/>
    <w:bookmarkStart w:id="159" w:name="empirical-contributions"/>
    <w:p>
      <w:pPr>
        <w:pStyle w:val="Heading3"/>
      </w:pPr>
      <w:r>
        <w:t xml:space="preserve">Empirical Contributions</w:t>
      </w:r>
    </w:p>
    <w:p>
      <w:pPr>
        <w:numPr>
          <w:ilvl w:val="0"/>
          <w:numId w:val="83"/>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3"/>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3"/>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3"/>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7"/>
    <w:bookmarkStart w:id="160" w:name="architectural-contributions"/>
    <w:p>
      <w:pPr>
        <w:pStyle w:val="Heading3"/>
      </w:pPr>
      <w:r>
        <w:t xml:space="preserve">Architectural Contributions</w:t>
      </w:r>
    </w:p>
    <w:p>
      <w:pPr>
        <w:numPr>
          <w:ilvl w:val="0"/>
          <w:numId w:val="84"/>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4"/>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8"/>
    <w:bookmarkEnd w:id="159"/>
    <w:bookmarkStart w:id="161"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5"/>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5"/>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5"/>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5"/>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60"/>
    <w:bookmarkStart w:id="162"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6"/>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6"/>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6"/>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6"/>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1"/>
    <w:bookmarkStart w:id="163"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7"/>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7"/>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7"/>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7"/>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2"/>
    <w:bookmarkStart w:id="164"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3"/>
    <w:bookmarkStart w:id="165" w:name="sec:future_work"/>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8"/>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8"/>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8"/>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8"/>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8"/>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8"/>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4"/>
    <w:bookmarkStart w:id="166"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5"/>
    <w:bookmarkEnd w:id="166"/>
    <w:bookmarkStart w:id="167"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9"/>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9"/>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8"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7"/>
    <w:bookmarkStart w:id="169"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90"/>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90"/>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8"/>
    <w:bookmarkStart w:id="170"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1"/>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1"/>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9"/>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70"/>
    <w:bookmarkStart w:id="171"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2"/>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2"/>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3"/>
        </w:numPr>
      </w:pPr>
      <m:oMath>
        <m:r>
          <m:rPr>
            <m:nor/>
            <m:sty m:val="p"/>
          </m:rPr>
          <m:t>MPAI</m:t>
        </m:r>
        <m:r>
          <m:rPr>
            <m:sty m:val="p"/>
          </m:rPr>
          <m:t>∈</m:t>
        </m:r>
        <m:r>
          <m:rPr>
            <m:nor/>
            <m:sty m:val="p"/>
          </m:rPr>
          <m:t>NP</m:t>
        </m:r>
      </m:oMath>
      <w:r>
        <w:t xml:space="preserve">, and</w:t>
      </w:r>
    </w:p>
    <w:p>
      <w:pPr>
        <w:numPr>
          <w:ilvl w:val="0"/>
          <w:numId w:val="93"/>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2"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4"/>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4"/>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4"/>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1"/>
    <w:bookmarkStart w:id="173"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emphasize that while finding an edge cut severing all paths from a single source to a single target is polynomial-time solvable via standard</w:t>
      </w:r>
      <w:r>
        <w:t xml:space="preserve"> </w:t>
      </w:r>
      <m:oMath>
        <m:r>
          <m:rPr>
            <m:sty m:val="p"/>
          </m:rPr>
          <m:t>(</m:t>
        </m:r>
        <m:r>
          <m:t>S</m:t>
        </m:r>
        <m:r>
          <m:rPr>
            <m:sty m:val="p"/>
          </m:rPr>
          <m:t>,</m:t>
        </m:r>
        <m:r>
          <m:t>T</m:t>
        </m:r>
        <m:r>
          <m:rPr>
            <m:sty m:val="p"/>
          </m:rPr>
          <m:t>)</m:t>
        </m:r>
      </m:oMath>
      <w:r>
        <w:t xml:space="preserve"> </w:t>
      </w:r>
      <w:r>
        <w:t xml:space="preserve">min-cut, and prior Active Directory interdiction literature (Guo et al., 2022, 2023) </w:t>
      </w:r>
      <w:r>
        <w:t xml:space="preserve">(Guo et al. 2022, 2023)</w:t>
      </w:r>
      <w:r>
        <w:t xml:space="preserve"> </w:t>
      </w:r>
      <w:r>
        <w:t xml:space="preserve">established the W[1]-hardness of single-target</w:t>
      </w:r>
      <w:r>
        <w:t xml:space="preserve"> </w:t>
      </w:r>
      <w:r>
        <w:rPr>
          <w:i/>
          <w:iCs/>
        </w:rPr>
        <w:t xml:space="preserve">shortest-path</w:t>
      </w:r>
      <w:r>
        <w:t xml:space="preserve"> </w:t>
      </w:r>
      <w:r>
        <w:t xml:space="preserve">interdiction, Theorem </w:t>
      </w:r>
      <w:hyperlink w:anchor="thm:nphardness">
        <w:r>
          <w:rPr>
            <w:rStyle w:val="Hyperlink"/>
          </w:rPr>
          <w:t xml:space="preserve">[thm:nphardness]</w:t>
        </w:r>
      </w:hyperlink>
      <w:r>
        <w:t xml:space="preserve"> </w:t>
      </w:r>
      <w:r>
        <w:t xml:space="preserve">proves that complete reachability interdiction across multiple forbidden terminal pairs is NP-hard. We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5"/>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5"/>
        </w:numPr>
      </w:pPr>
      <w:r>
        <w:rPr>
          <w:b/>
          <w:bCs/>
        </w:rPr>
        <w:t xml:space="preserve">Edge and Cost Construction:</w:t>
      </w:r>
    </w:p>
    <w:p>
      <w:pPr>
        <w:numPr>
          <w:ilvl w:val="1"/>
          <w:numId w:val="96"/>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7"/>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7"/>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7"/>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7"/>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6"/>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5"/>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5"/>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2"/>
    <w:bookmarkStart w:id="174" w:name="equivalence-of-solutions"/>
    <w:p>
      <w:pPr>
        <w:pStyle w:val="Heading5"/>
      </w:pPr>
      <w:r>
        <w:t xml:space="preserve">Equivalence of Solutions:</w:t>
      </w:r>
    </w:p>
    <w:p>
      <w:pPr>
        <w:numPr>
          <w:ilvl w:val="0"/>
          <w:numId w:val="98"/>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8"/>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3"/>
    <w:bookmarkStart w:id="175" w:name="refs"/>
    <w:bookmarkStart w:id="176"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4"/>
    <w:bookmarkStart w:id="177" w:name="ref-bell2024pragmatic"/>
    <w:p>
      <w:pPr>
        <w:pStyle w:val="Bibliography"/>
      </w:pPr>
      <w:r>
        <w:t xml:space="preserve">Bell, Samuel J., and Skyler Wang. 2024.</w:t>
      </w:r>
      <w:r>
        <w:t xml:space="preserve"> </w:t>
      </w:r>
      <w:r>
        <w:t xml:space="preserve">“The Pragmatic Frames of Spurious Correlations in Machine Learning: Interpreting How and Why They Matter.”</w:t>
      </w:r>
      <w:r>
        <w:t xml:space="preserve"> </w:t>
      </w:r>
      <w:r>
        <w:rPr>
          <w:i/>
          <w:iCs/>
        </w:rPr>
        <w:t xml:space="preserve">arXiv Preprint arXiv:2411.04696</w:t>
      </w:r>
      <w:r>
        <w:t xml:space="preserve">.</w:t>
      </w:r>
      <w:r>
        <w:t xml:space="preserve"> </w:t>
      </w:r>
      <w:hyperlink r:id="rId26">
        <w:r>
          <w:rPr>
            <w:rStyle w:val="Hyperlink"/>
          </w:rPr>
          <w:t xml:space="preserve">https://arxiv.org/abs/2411.04696</w:t>
        </w:r>
      </w:hyperlink>
      <w:r>
        <w:t xml:space="preserve">.</w:t>
      </w:r>
    </w:p>
    <w:bookmarkEnd w:id="175"/>
    <w:bookmarkStart w:id="178"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7">
        <w:r>
          <w:rPr>
            <w:rStyle w:val="Hyperlink"/>
          </w:rPr>
          <w:t xml:space="preserve">https://github.com/GhostPack/PSPKIAudit</w:t>
        </w:r>
      </w:hyperlink>
      <w:r>
        <w:t xml:space="preserve">.</w:t>
      </w:r>
    </w:p>
    <w:bookmarkEnd w:id="176"/>
    <w:bookmarkStart w:id="179" w:name="ref-bollinger2024ekuwu"/>
    <w:p>
      <w:pPr>
        <w:pStyle w:val="Bibliography"/>
      </w:pPr>
      <w:r>
        <w:t xml:space="preserve">Bollinger, Justin. 2024.</w:t>
      </w:r>
      <w:r>
        <w:t xml:space="preserve"> </w:t>
      </w:r>
      <w:r>
        <w:rPr>
          <w:i/>
          <w:iCs/>
        </w:rPr>
        <w:t xml:space="preserve">EKUwu</w:t>
      </w:r>
      <w:r>
        <w:rPr>
          <w:i/>
          <w:iCs/>
        </w:rPr>
        <w:t xml:space="preserve">: Not Just Another</w:t>
      </w:r>
      <w:r>
        <w:rPr>
          <w:i/>
          <w:iCs/>
        </w:rPr>
        <w:t xml:space="preserve"> </w:t>
      </w:r>
      <w:r>
        <w:rPr>
          <w:i/>
          <w:iCs/>
        </w:rPr>
        <w:t xml:space="preserve">AD CS ESC</w:t>
      </w:r>
      <w:r>
        <w:t xml:space="preserve">. TrustedSec Blog,</w:t>
      </w:r>
      <w:r>
        <w:t xml:space="preserve"> </w:t>
      </w:r>
      <w:hyperlink r:id="rId28">
        <w:r>
          <w:rPr>
            <w:rStyle w:val="Hyperlink"/>
          </w:rPr>
          <w:t xml:space="preserve">https://trustedsec.com/blog/ekuwu-not-just-another-ad-cs-esc</w:t>
        </w:r>
      </w:hyperlink>
      <w:r>
        <w:t xml:space="preserve">.</w:t>
      </w:r>
    </w:p>
    <w:bookmarkEnd w:id="177"/>
    <w:bookmarkStart w:id="180"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8"/>
    <w:bookmarkStart w:id="181"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9"/>
    <w:bookmarkStart w:id="182" w:name="ref-dahlhaus1994multiterminal"/>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80"/>
    <w:bookmarkStart w:id="183"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81"/>
    <w:bookmarkStart w:id="184"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2"/>
    <w:bookmarkStart w:id="185"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3"/>
    <w:bookmarkStart w:id="186" w:name="ref-goel2025coevolutionary"/>
    <w:p>
      <w:pPr>
        <w:pStyle w:val="Bibliography"/>
      </w:pPr>
      <w:r>
        <w:t xml:space="preserve">Goel, Diksha, Hussain Ahmad, Kristen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4"/>
    <w:bookmarkStart w:id="187" w:name="ref-goel2024optimizing"/>
    <w:p>
      <w:pPr>
        <w:pStyle w:val="Bibliography"/>
      </w:pPr>
      <w:r>
        <w:t xml:space="preserve">Goel, Diksha, Kristen Moore, Mingyu Guo, Derui Wang, Minjune Kim, and Seyit Camtepe. 2024.</w:t>
      </w:r>
      <w:r>
        <w:t xml:space="preserve"> </w:t>
      </w:r>
      <w:r>
        <w:t xml:space="preserve">“Optimizing Cyber Defense in Dynamic Active Directories Through Reinforcement Learning.”</w:t>
      </w:r>
      <w:r>
        <w:t xml:space="preserve"> </w:t>
      </w:r>
      <w:r>
        <w:rPr>
          <w:i/>
          <w:iCs/>
        </w:rPr>
        <w:t xml:space="preserve">Computer Security – ESORICS 2024</w:t>
      </w:r>
      <w:r>
        <w:t xml:space="preserve">, Lecture notes in computer science, vol. 14983: 3–23.</w:t>
      </w:r>
      <w:r>
        <w:t xml:space="preserve"> </w:t>
      </w:r>
      <w:hyperlink r:id="rId29">
        <w:r>
          <w:rPr>
            <w:rStyle w:val="Hyperlink"/>
          </w:rPr>
          <w:t xml:space="preserve">https://doi.org/10.1007/978-3-031-70890-9_1</w:t>
        </w:r>
      </w:hyperlink>
      <w:r>
        <w:t xml:space="preserve">.</w:t>
      </w:r>
    </w:p>
    <w:bookmarkEnd w:id="185"/>
    <w:bookmarkStart w:id="188" w:name="ref-goel2024hardening"/>
    <w:p>
      <w:pPr>
        <w:pStyle w:val="Bibliography"/>
      </w:pPr>
      <w:r>
        <w:t xml:space="preserve">Goel, Diksha, Max Ward, Aneta Neumann, Frank Neumann, Hung Nguyen, and Mingyu Guo. 2024.</w:t>
      </w:r>
      <w:r>
        <w:t xml:space="preserve"> </w:t>
      </w:r>
      <w:r>
        <w:t xml:space="preserve">“Hardening Active Directory Graphs via Evolutionary Diversity Optimization-Based Policies.”</w:t>
      </w:r>
      <w:r>
        <w:t xml:space="preserve"> </w:t>
      </w:r>
      <w:r>
        <w:rPr>
          <w:i/>
          <w:iCs/>
        </w:rPr>
        <w:t xml:space="preserve">ACM Transactions on Evolutionary Learning and Optimization</w:t>
      </w:r>
      <w:r>
        <w:t xml:space="preserve"> </w:t>
      </w:r>
      <w:r>
        <w:t xml:space="preserve">5 (3): 1–36.</w:t>
      </w:r>
      <w:r>
        <w:t xml:space="preserve"> </w:t>
      </w:r>
      <w:hyperlink r:id="rId30">
        <w:r>
          <w:rPr>
            <w:rStyle w:val="Hyperlink"/>
          </w:rPr>
          <w:t xml:space="preserve">https://doi.org/10.1145/3688401</w:t>
        </w:r>
      </w:hyperlink>
      <w:r>
        <w:t xml:space="preserve">.</w:t>
      </w:r>
    </w:p>
    <w:bookmarkEnd w:id="186"/>
    <w:bookmarkStart w:id="189" w:name="ref-gunnemann2022adversarial"/>
    <w:p>
      <w:pPr>
        <w:pStyle w:val="Bibliography"/>
      </w:pPr>
      <w:r>
        <w:t xml:space="preserve">Günnemann, Stephan. 2022.</w:t>
      </w:r>
      <w:r>
        <w:t xml:space="preserve"> </w:t>
      </w:r>
      <w:r>
        <w:t xml:space="preserve">“Graph Neural Networks: Adversarial Robustness.”</w:t>
      </w:r>
      <w:r>
        <w:t xml:space="preserve"> </w:t>
      </w:r>
      <w:r>
        <w:t xml:space="preserve">In</w:t>
      </w:r>
      <w:r>
        <w:t xml:space="preserve"> </w:t>
      </w:r>
      <w:r>
        <w:rPr>
          <w:i/>
          <w:iCs/>
        </w:rPr>
        <w:t xml:space="preserve">Graph Neural Networks: Foundations, Frontiers, and Applications</w:t>
      </w:r>
      <w:r>
        <w:t xml:space="preserve">, edited by Lingfei Wu, Peng Cui, Jian Pei, and Liang Zhao. Springer Nature Singapore.</w:t>
      </w:r>
      <w:r>
        <w:t xml:space="preserve"> </w:t>
      </w:r>
      <w:hyperlink r:id="rId31">
        <w:r>
          <w:rPr>
            <w:rStyle w:val="Hyperlink"/>
          </w:rPr>
          <w:t xml:space="preserve">https://doi.org/10.1007/978-981-16-6054-2_8</w:t>
        </w:r>
      </w:hyperlink>
      <w:r>
        <w:t xml:space="preserve">.</w:t>
      </w:r>
    </w:p>
    <w:bookmarkEnd w:id="187"/>
    <w:bookmarkStart w:id="190" w:name="ref-guo2022practical"/>
    <w:p>
      <w:pPr>
        <w:pStyle w:val="Bibliography"/>
      </w:pPr>
      <w:r>
        <w:t xml:space="preserve">Guo, Mingyu, Jialiang Li, Aneta Neumann, Frank Neumann, and Hung Nguyen. 2022.</w:t>
      </w:r>
      <w:r>
        <w:t xml:space="preserve"> </w:t>
      </w:r>
      <w:r>
        <w:t xml:space="preserve">“Practical Fixed-Parameter Algorithms for Defending Active Directory Style Attack Graphs.”</w:t>
      </w:r>
      <w:r>
        <w:t xml:space="preserve"> </w:t>
      </w:r>
      <w:r>
        <w:rPr>
          <w:i/>
          <w:iCs/>
        </w:rPr>
        <w:t xml:space="preserve">Proceedings of the AAAI Conference on Artificial Intelligence</w:t>
      </w:r>
      <w:r>
        <w:t xml:space="preserve"> </w:t>
      </w:r>
      <w:r>
        <w:t xml:space="preserve">36: 9360–67.</w:t>
      </w:r>
      <w:r>
        <w:t xml:space="preserve"> </w:t>
      </w:r>
      <w:hyperlink r:id="rId32">
        <w:r>
          <w:rPr>
            <w:rStyle w:val="Hyperlink"/>
          </w:rPr>
          <w:t xml:space="preserve">https://doi.org/10.1609/aaai.v36i9.20928</w:t>
        </w:r>
      </w:hyperlink>
      <w:r>
        <w:t xml:space="preserve">.</w:t>
      </w:r>
    </w:p>
    <w:bookmarkEnd w:id="188"/>
    <w:bookmarkStart w:id="191" w:name="ref-guo2023scalable"/>
    <w:p>
      <w:pPr>
        <w:pStyle w:val="Bibliography"/>
      </w:pPr>
      <w:r>
        <w:t xml:space="preserve">Guo, Mingyu, Max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33">
        <w:r>
          <w:rPr>
            <w:rStyle w:val="Hyperlink"/>
          </w:rPr>
          <w:t xml:space="preserve">https://doi.org/10.1609/aaai.v37i5.25702</w:t>
        </w:r>
      </w:hyperlink>
      <w:r>
        <w:t xml:space="preserve">.</w:t>
      </w:r>
    </w:p>
    <w:bookmarkEnd w:id="189"/>
    <w:bookmarkStart w:id="192"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90"/>
    <w:bookmarkStart w:id="193"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91"/>
    <w:bookmarkStart w:id="194"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92"/>
    <w:bookmarkStart w:id="195" w:name="ref-king2023euler"/>
    <w:p>
      <w:pPr>
        <w:pStyle w:val="Bibliography"/>
      </w:pPr>
      <w:r>
        <w:t xml:space="preserve">King, Isaiah J., and H. Howie Huang. 2023.</w:t>
      </w:r>
      <w:r>
        <w:t xml:space="preserve"> </w:t>
      </w:r>
      <w:r>
        <w:t xml:space="preserve">“Euler: Detecting Network Lateral Movement via Scalable Temporal Link Prediction.”</w:t>
      </w:r>
      <w:r>
        <w:t xml:space="preserve"> </w:t>
      </w:r>
      <w:r>
        <w:rPr>
          <w:i/>
          <w:iCs/>
        </w:rPr>
        <w:t xml:space="preserve">ACM Transactions on Privacy and Security</w:t>
      </w:r>
      <w:r>
        <w:t xml:space="preserve"> </w:t>
      </w:r>
      <w:r>
        <w:t xml:space="preserve">26 (3): 32:1–36.</w:t>
      </w:r>
      <w:r>
        <w:t xml:space="preserve"> </w:t>
      </w:r>
      <w:hyperlink r:id="rId34">
        <w:r>
          <w:rPr>
            <w:rStyle w:val="Hyperlink"/>
          </w:rPr>
          <w:t xml:space="preserve">https://doi.org/10.1145/3588401</w:t>
        </w:r>
      </w:hyperlink>
      <w:r>
        <w:t xml:space="preserve">.</w:t>
      </w:r>
    </w:p>
    <w:bookmarkEnd w:id="193"/>
    <w:bookmarkStart w:id="196"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94"/>
    <w:bookmarkStart w:id="197"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35">
        <w:r>
          <w:rPr>
            <w:rStyle w:val="Hyperlink"/>
          </w:rPr>
          <w:t xml:space="preserve">https://posts.specterops.io/adcs-esc13-abuse-of-certificate-templates-with-issuance-policies-53457a4e613b</w:t>
        </w:r>
      </w:hyperlink>
      <w:r>
        <w:t xml:space="preserve">.</w:t>
      </w:r>
    </w:p>
    <w:bookmarkEnd w:id="195"/>
    <w:bookmarkStart w:id="198" w:name="ref-lyak2021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6">
        <w:r>
          <w:rPr>
            <w:rStyle w:val="Hyperlink"/>
          </w:rPr>
          <w:t xml:space="preserve">https://github.com/ly4k/Certipy</w:t>
        </w:r>
      </w:hyperlink>
      <w:r>
        <w:t xml:space="preserve">.</w:t>
      </w:r>
    </w:p>
    <w:bookmarkEnd w:id="196"/>
    <w:bookmarkStart w:id="199"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7">
        <w:r>
          <w:rPr>
            <w:rStyle w:val="Hyperlink"/>
          </w:rPr>
          <w:t xml:space="preserve">https://github.com/Orange-Cyberdefense/GOAD</w:t>
        </w:r>
      </w:hyperlink>
      <w:r>
        <w:t xml:space="preserve">.</w:t>
      </w:r>
    </w:p>
    <w:bookmarkEnd w:id="197"/>
    <w:bookmarkStart w:id="200"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8"/>
    <w:bookmarkStart w:id="201" w:name="ref-ngo2026practical"/>
    <w:p>
      <w:pPr>
        <w:pStyle w:val="Bibliography"/>
      </w:pPr>
      <w:r>
        <w:t xml:space="preserve">Ngo, Huy Quang. 2026.</w:t>
      </w:r>
      <w:r>
        <w:t xml:space="preserve"> </w:t>
      </w:r>
      <w:r>
        <w:t xml:space="preserve">“Practical Graph Optimisation and</w:t>
      </w:r>
      <w:r>
        <w:t xml:space="preserve"> </w:t>
      </w:r>
      <w:r>
        <w:t xml:space="preserve">AI</w:t>
      </w:r>
      <w:r>
        <w:t xml:space="preserve">-Driven Models for Active Directory Security Hardening.”</w:t>
      </w:r>
      <w:r>
        <w:t xml:space="preserve"> </w:t>
      </w:r>
      <w:r>
        <w:t xml:space="preserve">PhD thesis, School of Computer; Mathematical Sciences, The University of Adelaide.</w:t>
      </w:r>
    </w:p>
    <w:bookmarkEnd w:id="199"/>
    <w:bookmarkStart w:id="202" w:name="ref-ngo2023honeypot"/>
    <w:p>
      <w:pPr>
        <w:pStyle w:val="Bibliography"/>
      </w:pPr>
      <w:r>
        <w:t xml:space="preserve">Ngo, Huy Quang, Mingyu Guo, and Hung Nguyen. 2023.</w:t>
      </w:r>
      <w:r>
        <w:t xml:space="preserve"> </w:t>
      </w:r>
      <w:r>
        <w:t xml:space="preserve">“Near Optimal Strategies for Honeypots Placement in Dynamic and Large Active Directory Networks.”</w:t>
      </w:r>
      <w:r>
        <w:t xml:space="preserve"> </w:t>
      </w:r>
      <w:r>
        <w:rPr>
          <w:i/>
          <w:iCs/>
        </w:rPr>
        <w:t xml:space="preserve">Proceedings of the 2023 International Conference on Autonomous Agents and Multiagent Systems</w:t>
      </w:r>
      <w:r>
        <w:t xml:space="preserve"> </w:t>
      </w:r>
      <w:r>
        <w:t xml:space="preserve">(Richland, SC), AAMAS ’23, 2517–19.</w:t>
      </w:r>
    </w:p>
    <w:bookmarkEnd w:id="200"/>
    <w:bookmarkStart w:id="203" w:name="ref-ngo2024decoy"/>
    <w:p>
      <w:pPr>
        <w:pStyle w:val="Bibliography"/>
      </w:pPr>
      <w:r>
        <w:t xml:space="preserve">Ngo, Huy Quang, Mingyu Guo, and Hung X. Nguyen. 2024.</w:t>
      </w:r>
      <w:r>
        <w:t xml:space="preserve"> </w:t>
      </w:r>
      <w:r>
        <w:t xml:space="preserve">“Optimizing Cyber Response Time on Temporal Active Directory Networks Using Decoys.”</w:t>
      </w:r>
      <w:r>
        <w:t xml:space="preserve"> </w:t>
      </w:r>
      <w:r>
        <w:rPr>
          <w:i/>
          <w:iCs/>
        </w:rPr>
        <w:t xml:space="preserve">Proceedings of the Genetic and Evolutionary Computation Conference</w:t>
      </w:r>
      <w:r>
        <w:t xml:space="preserve"> </w:t>
      </w:r>
      <w:r>
        <w:t xml:space="preserve">(New York, NY, USA), GECCO ’24, 1309–17.</w:t>
      </w:r>
      <w:r>
        <w:t xml:space="preserve"> </w:t>
      </w:r>
      <w:hyperlink r:id="rId38">
        <w:r>
          <w:rPr>
            <w:rStyle w:val="Hyperlink"/>
          </w:rPr>
          <w:t xml:space="preserve">https://doi.org/10.1145/3638529.3654060</w:t>
        </w:r>
      </w:hyperlink>
      <w:r>
        <w:t xml:space="preserve">.</w:t>
      </w:r>
    </w:p>
    <w:bookmarkEnd w:id="201"/>
    <w:bookmarkStart w:id="20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202"/>
    <w:bookmarkStart w:id="20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203"/>
    <w:bookmarkStart w:id="20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204"/>
    <w:bookmarkStart w:id="20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205"/>
    <w:bookmarkStart w:id="20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9">
        <w:r>
          <w:rPr>
            <w:rStyle w:val="Hyperlink"/>
          </w:rPr>
          <w:t xml:space="preserve">https://github.com/BloodHoundAD/BloodHound</w:t>
        </w:r>
      </w:hyperlink>
      <w:r>
        <w:t xml:space="preserve">.</w:t>
      </w:r>
    </w:p>
    <w:bookmarkEnd w:id="206"/>
    <w:bookmarkStart w:id="20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207"/>
    <w:bookmarkStart w:id="21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40">
        <w:r>
          <w:rPr>
            <w:rStyle w:val="Hyperlink"/>
          </w:rPr>
          <w:t xml:space="preserve">https://posts.specterops.io/certified-pre-owned-d95910965cd2</w:t>
        </w:r>
      </w:hyperlink>
      <w:r>
        <w:t xml:space="preserve">.</w:t>
      </w:r>
    </w:p>
    <w:bookmarkEnd w:id="208"/>
    <w:bookmarkStart w:id="21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209"/>
    <w:bookmarkStart w:id="21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10"/>
    <w:bookmarkStart w:id="21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11"/>
    <w:bookmarkStart w:id="21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12"/>
    <w:bookmarkStart w:id="215" w:name="ref-ward2021algorithms"/>
    <w:p>
      <w:pPr>
        <w:pStyle w:val="Bibliography"/>
      </w:pPr>
      <w:r>
        <w:t xml:space="preserve">Ward, Max. 2021.</w:t>
      </w:r>
      <w:r>
        <w:t xml:space="preserve"> </w:t>
      </w:r>
      <w:r>
        <w:t xml:space="preserve">“Algorithms to Prevent Attacks in Active Directory Environments.”</w:t>
      </w:r>
      <w:r>
        <w:t xml:space="preserve"> </w:t>
      </w:r>
      <w:r>
        <w:t xml:space="preserve">Honours Thesis, School of Computer Science, The University of Adelaide.</w:t>
      </w:r>
    </w:p>
    <w:bookmarkEnd w:id="213"/>
    <w:bookmarkStart w:id="216" w:name="ref-wu2025understanding"/>
    <w:p>
      <w:pPr>
        <w:pStyle w:val="Bibliography"/>
      </w:pPr>
      <w:r>
        <w:t xml:space="preserve">Wu, Tao, Canyixing Cui, Xingping Xian, et al. 2025.</w:t>
      </w:r>
      <w:r>
        <w:t xml:space="preserve"> </w:t>
      </w:r>
      <w:r>
        <w:t xml:space="preserve">“Understanding the Robustness of Graph Neural Networks Against Adversarial Attacks.”</w:t>
      </w:r>
      <w:r>
        <w:t xml:space="preserve"> </w:t>
      </w:r>
      <w:r>
        <w:rPr>
          <w:i/>
          <w:iCs/>
        </w:rPr>
        <w:t xml:space="preserve">Knowledge-Based Systems</w:t>
      </w:r>
      <w:r>
        <w:t xml:space="preserve"> </w:t>
      </w:r>
      <w:r>
        <w:t xml:space="preserve">313: 113714.</w:t>
      </w:r>
      <w:r>
        <w:t xml:space="preserve"> </w:t>
      </w:r>
      <w:hyperlink r:id="rId41">
        <w:r>
          <w:rPr>
            <w:rStyle w:val="Hyperlink"/>
          </w:rPr>
          <w:t xml:space="preserve">https://doi.org/10.1016/j.knosys.2025.113714</w:t>
        </w:r>
      </w:hyperlink>
      <w:r>
        <w:t xml:space="preserve">.</w:t>
      </w:r>
    </w:p>
    <w:bookmarkEnd w:id="214"/>
    <w:bookmarkStart w:id="217" w:name="ref-ye2026cleverhans"/>
    <w:p>
      <w:pPr>
        <w:pStyle w:val="Bibliography"/>
      </w:pPr>
      <w:r>
        <w:t xml:space="preserve">Ye, Wenqian, Luyang Jiang, Eric Xie, et al. 2026.</w:t>
      </w:r>
      <w:r>
        <w:t xml:space="preserve"> </w:t>
      </w:r>
      <w:r>
        <w:t xml:space="preserve">“The Clever Hans Mirage: A Comprehensive Survey on Spurious Correlations in Machine Learning.”</w:t>
      </w:r>
      <w:r>
        <w:t xml:space="preserve"> </w:t>
      </w:r>
      <w:r>
        <w:rPr>
          <w:i/>
          <w:iCs/>
        </w:rPr>
        <w:t xml:space="preserve">Transactions on Machine Learning Research</w:t>
      </w:r>
      <w:r>
        <w:t xml:space="preserve">.</w:t>
      </w:r>
      <w:r>
        <w:t xml:space="preserve"> </w:t>
      </w:r>
      <w:hyperlink r:id="rId42">
        <w:r>
          <w:rPr>
            <w:rStyle w:val="Hyperlink"/>
          </w:rPr>
          <w:t xml:space="preserve">https://openreview.net/forum?id=v39G5R7k2x</w:t>
        </w:r>
      </w:hyperlink>
      <w:r>
        <w:t xml:space="preserve">.</w:t>
      </w:r>
    </w:p>
    <w:bookmarkEnd w:id="215"/>
    <w:bookmarkStart w:id="218" w:name="ref-zhang2023scalable"/>
    <w:p>
      <w:pPr>
        <w:pStyle w:val="Bibliography"/>
      </w:pPr>
      <w:r>
        <w:t xml:space="preserve">Zhang, Yumeng, Max Ward, Mingyu Guo, and Hung Nguyen. 2023.</w:t>
      </w:r>
      <w:r>
        <w:t xml:space="preserve"> </w:t>
      </w:r>
      <w:r>
        <w:t xml:space="preserve">“A Scalable Double Oracle Algorithm for Hardening Large Active Directory Systems.”</w:t>
      </w:r>
      <w:r>
        <w:t xml:space="preserve"> </w:t>
      </w:r>
      <w:r>
        <w:rPr>
          <w:i/>
          <w:iCs/>
        </w:rPr>
        <w:t xml:space="preserve">Proceedings of the 2023 ACM Asia Conference on Computer and Communications Security</w:t>
      </w:r>
      <w:r>
        <w:t xml:space="preserve"> </w:t>
      </w:r>
      <w:r>
        <w:t xml:space="preserve">(New York, NY, USA), ASIA CCS ’23, 993–1003.</w:t>
      </w:r>
      <w:r>
        <w:t xml:space="preserve"> </w:t>
      </w:r>
      <w:hyperlink r:id="rId43">
        <w:r>
          <w:rPr>
            <w:rStyle w:val="Hyperlink"/>
          </w:rPr>
          <w:t xml:space="preserve">https://doi.org/10.1145/3579856.3590333</w:t>
        </w:r>
      </w:hyperlink>
      <w:r>
        <w:t xml:space="preserve">.</w:t>
      </w:r>
    </w:p>
    <w:bookmarkEnd w:id="216"/>
    <w:bookmarkStart w:id="219" w:name="ref-zhou2024lateral"/>
    <w:p>
      <w:pPr>
        <w:pStyle w:val="Bibliography"/>
      </w:pPr>
      <w:r>
        <w:t xml:space="preserve">Zhou, Jiajun, Jiacheng Yao, Xuanze Chen, Shanqing Yu, Qi Xuan, and Xiaoniu Yang. 2024.</w:t>
      </w:r>
      <w:r>
        <w:t xml:space="preserve"> </w:t>
      </w:r>
      <w:r>
        <w:t xml:space="preserve">“Lateral Movement Detection via Time-Aware Subgraph Classification on Authentication Logs.”</w:t>
      </w:r>
      <w:r>
        <w:t xml:space="preserve"> </w:t>
      </w:r>
      <w:r>
        <w:rPr>
          <w:i/>
          <w:iCs/>
        </w:rPr>
        <w:t xml:space="preserve">arXiv Preprint arXiv:2411.10279</w:t>
      </w:r>
      <w:r>
        <w:t xml:space="preserve">.</w:t>
      </w:r>
    </w:p>
    <w:bookmarkEnd w:id="217"/>
    <w:bookmarkStart w:id="220"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44">
        <w:r>
          <w:rPr>
            <w:rStyle w:val="Hyperlink"/>
          </w:rPr>
          <w:t xml:space="preserve">https://www.rfc-editor.org/rfc/rfc4556</w:t>
        </w:r>
      </w:hyperlink>
      <w:r>
        <w:t xml:space="preserve">.</w:t>
      </w:r>
    </w:p>
    <w:bookmarkEnd w:id="218"/>
    <w:bookmarkEnd w:id="219"/>
    <w:bookmarkEnd w:id="220"/>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560CDD"/>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5D6641F"/>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16D3A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1"/>
  </w:num>
  <w:num w:numId="50">
    <w:abstractNumId w:val="11"/>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arxiv.org/abs/2411.04696" TargetMode="External"/><Relationship Id="rId27" Type="http://schemas.openxmlformats.org/officeDocument/2006/relationships/hyperlink" Target="https://github.com/GhostPack/PSPKIAudit" TargetMode="External"/><Relationship Id="rId28" Type="http://schemas.openxmlformats.org/officeDocument/2006/relationships/hyperlink" Target="https://trustedsec.com/blog/ekuwu-not-just-another-ad-cs-esc" TargetMode="External"/><Relationship Id="rId29" Type="http://schemas.openxmlformats.org/officeDocument/2006/relationships/hyperlink" Target="https://doi.org/10.1007/978-3-031-70890-9_1" TargetMode="External"/><Relationship Id="rId30" Type="http://schemas.openxmlformats.org/officeDocument/2006/relationships/hyperlink" Target="https://doi.org/10.1145/3688401" TargetMode="External"/><Relationship Id="rId31" Type="http://schemas.openxmlformats.org/officeDocument/2006/relationships/hyperlink" Target="https://doi.org/10.1007/978-981-16-6054-2_8" TargetMode="External"/><Relationship Id="rId32" Type="http://schemas.openxmlformats.org/officeDocument/2006/relationships/hyperlink" Target="https://doi.org/10.1609/aaai.v36i9.20928" TargetMode="External"/><Relationship Id="rId33" Type="http://schemas.openxmlformats.org/officeDocument/2006/relationships/hyperlink" Target="https://doi.org/10.1609/aaai.v37i5.25702" TargetMode="External"/><Relationship Id="rId34" Type="http://schemas.openxmlformats.org/officeDocument/2006/relationships/hyperlink" Target="https://doi.org/10.1145/3588401" TargetMode="External"/><Relationship Id="rId35" Type="http://schemas.openxmlformats.org/officeDocument/2006/relationships/hyperlink" Target="https://posts.specterops.io/adcs-esc13-abuse-of-certificate-templates-with-issuance-policies-53457a4e613b" TargetMode="External"/><Relationship Id="rId36" Type="http://schemas.openxmlformats.org/officeDocument/2006/relationships/hyperlink" Target="https://github.com/ly4k/Certipy" TargetMode="External"/><Relationship Id="rId37" Type="http://schemas.openxmlformats.org/officeDocument/2006/relationships/hyperlink" Target="https://github.com/Orange-Cyberdefense/GOAD" TargetMode="External"/><Relationship Id="rId38" Type="http://schemas.openxmlformats.org/officeDocument/2006/relationships/hyperlink" Target="https://doi.org/10.1145/3638529.3654060" TargetMode="External"/><Relationship Id="rId39" Type="http://schemas.openxmlformats.org/officeDocument/2006/relationships/hyperlink" Target="https://github.com/BloodHoundAD/BloodHound" TargetMode="External"/><Relationship Id="rId40" Type="http://schemas.openxmlformats.org/officeDocument/2006/relationships/hyperlink" Target="https://posts.specterops.io/certified-pre-owned-d95910965cd2" TargetMode="External"/><Relationship Id="rId41" Type="http://schemas.openxmlformats.org/officeDocument/2006/relationships/hyperlink" Target="https://doi.org/10.1016/j.knosys.2025.113714" TargetMode="External"/><Relationship Id="rId42" Type="http://schemas.openxmlformats.org/officeDocument/2006/relationships/hyperlink" Target="https://openreview.net/forum?id=v39G5R7k2x" TargetMode="External"/><Relationship Id="rId43" Type="http://schemas.openxmlformats.org/officeDocument/2006/relationships/hyperlink" Target="https://doi.org/10.1145/3579856.3590333" TargetMode="External"/><Relationship Id="rId4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