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4216F" w14:textId="77777777" w:rsidR="003A3158" w:rsidRDefault="00791551">
      <w:pPr>
        <w:pStyle w:val="Heading2"/>
      </w:pPr>
      <w:r>
        <w:t>Part 1: Reviewer report</w:t>
      </w:r>
    </w:p>
    <w:p w14:paraId="21C35413" w14:textId="77777777" w:rsidR="003A3158" w:rsidRDefault="00791551">
      <w:pPr>
        <w:pStyle w:val="FirstParagraph"/>
      </w:pPr>
      <w:r>
        <w:rPr>
          <w:b/>
          <w:bCs/>
        </w:rPr>
        <w:t>Summary.</w:t>
      </w:r>
      <w:r>
        <w:t xml:space="preserve"> CertGraph is a heterogeneous GAT that classifies certificate templates into Safe or one of six ESC classes. The thesis adds a “fore</w:t>
      </w:r>
      <w:r>
        <w:t>nsic audit” of its own benchmark, a residual-connection theorem, a zero-shot hard-negative test, a GNN+BFS hybrid, and an NP-hardness proof for edge-severing defence.</w:t>
      </w:r>
    </w:p>
    <w:p w14:paraId="5D7D31F2" w14:textId="77777777" w:rsidR="003A3158" w:rsidRDefault="00791551">
      <w:pPr>
        <w:pStyle w:val="BodyText"/>
      </w:pPr>
      <w:r>
        <w:rPr>
          <w:b/>
          <w:bCs/>
        </w:rPr>
        <w:t>Strengths.</w:t>
      </w:r>
      <w:r>
        <w:t xml:space="preserve"> Auditing your own leaky generator and reporting a negative result is valuable.</w:t>
      </w:r>
      <w:r>
        <w:t xml:space="preserve"> The formalisation and hyperparameters are clear.</w:t>
      </w:r>
    </w:p>
    <w:p w14:paraId="26F1F0F9" w14:textId="77777777" w:rsidR="003A3158" w:rsidRDefault="00791551">
      <w:pPr>
        <w:pStyle w:val="BodyText"/>
      </w:pPr>
      <w:r>
        <w:rPr>
          <w:b/>
          <w:bCs/>
        </w:rPr>
        <w:t>Major concerns</w:t>
      </w:r>
    </w:p>
    <w:p w14:paraId="2AB6550D" w14:textId="77777777" w:rsidR="003A3158" w:rsidRDefault="00791551">
      <w:pPr>
        <w:numPr>
          <w:ilvl w:val="0"/>
          <w:numId w:val="2"/>
        </w:numPr>
      </w:pPr>
      <w:r>
        <w:rPr>
          <w:b/>
          <w:bCs/>
        </w:rPr>
        <w:t>The benchmark is saturated.</w:t>
      </w:r>
    </w:p>
    <w:p w14:paraId="2FE9B056" w14:textId="77777777" w:rsidR="003A3158" w:rsidRDefault="00791551">
      <w:pPr>
        <w:pStyle w:val="Compact"/>
        <w:numPr>
          <w:ilvl w:val="1"/>
          <w:numId w:val="3"/>
        </w:numPr>
      </w:pPr>
      <w:r>
        <w:t>The headline 0.9986 ± 0.0029 is one misclassified template out of 700 (699/700 = 0.99857).</w:t>
      </w:r>
    </w:p>
    <w:p w14:paraId="331E9A33" w14:textId="77777777" w:rsidR="003A3158" w:rsidRDefault="00791551">
      <w:pPr>
        <w:pStyle w:val="Compact"/>
        <w:numPr>
          <w:ilvl w:val="1"/>
          <w:numId w:val="3"/>
        </w:numPr>
      </w:pPr>
      <w:r>
        <w:t>A 7-node decision tree scores 0.9928, which is about 5 errors.</w:t>
      </w:r>
    </w:p>
    <w:p w14:paraId="380E70E4" w14:textId="77777777" w:rsidR="003A3158" w:rsidRDefault="00791551">
      <w:pPr>
        <w:pStyle w:val="Compact"/>
        <w:numPr>
          <w:ilvl w:val="1"/>
          <w:numId w:val="3"/>
        </w:numPr>
      </w:pPr>
      <w:r>
        <w:t>The graph</w:t>
      </w:r>
      <w:r>
        <w:t>-augmented MLP is indistinguishable from CertGraph (p = 0.62), and the single-head ablation scores 1.0000.</w:t>
      </w:r>
    </w:p>
    <w:p w14:paraId="1D0DB6EB" w14:textId="77777777" w:rsidR="003A3158" w:rsidRDefault="00791551">
      <w:pPr>
        <w:pStyle w:val="Compact"/>
        <w:numPr>
          <w:ilvl w:val="1"/>
          <w:numId w:val="3"/>
        </w:numPr>
      </w:pPr>
      <w:r>
        <w:t>Labels come from rules the generator itself encodes, so this measures rule recovery, not vulnerability detection.</w:t>
      </w:r>
    </w:p>
    <w:p w14:paraId="322F11EA" w14:textId="77777777" w:rsidR="003A3158" w:rsidRDefault="00791551">
      <w:pPr>
        <w:numPr>
          <w:ilvl w:val="0"/>
          <w:numId w:val="2"/>
        </w:numPr>
      </w:pPr>
      <w:r>
        <w:rPr>
          <w:b/>
          <w:bCs/>
        </w:rPr>
        <w:t>Theorem 1 does not hold for the mod</w:t>
      </w:r>
      <w:r>
        <w:rPr>
          <w:b/>
          <w:bCs/>
        </w:rPr>
        <w:t>el you use.</w:t>
      </w:r>
    </w:p>
    <w:p w14:paraId="52CF0EDB" w14:textId="77777777" w:rsidR="003A3158" w:rsidRDefault="00791551">
      <w:pPr>
        <w:pStyle w:val="Compact"/>
        <w:numPr>
          <w:ilvl w:val="1"/>
          <w:numId w:val="4"/>
        </w:numPr>
      </w:pPr>
      <w:r>
        <w:t>Eq. 3.9 adds reverse relations, so Users get incoming edges from Groups and the premise “in-degree = 0” fails.</w:t>
      </w:r>
    </w:p>
    <w:p w14:paraId="6C79C105" w14:textId="77777777" w:rsidR="003A3158" w:rsidRDefault="00791551">
      <w:pPr>
        <w:pStyle w:val="Compact"/>
        <w:numPr>
          <w:ilvl w:val="1"/>
          <w:numId w:val="4"/>
        </w:numPr>
      </w:pPr>
      <w:r>
        <w:t>Even under the premise, the proof only handles the case where the gradient flows through the node itself. A template with an Enroll e</w:t>
      </w:r>
      <w:r>
        <w:t xml:space="preserve">dge from user </w:t>
      </w:r>
      <w:r>
        <w:rPr>
          <w:i/>
          <w:iCs/>
        </w:rPr>
        <w:t>v</w:t>
      </w:r>
      <w:r>
        <w:t xml:space="preserve"> receives </w:t>
      </w:r>
      <w:r>
        <w:rPr>
          <w:i/>
          <w:iCs/>
        </w:rPr>
        <w:t>v</w:t>
      </w:r>
      <w:r>
        <w:t>’s raw features at layer 1, so ∂L/∂x_v ≠ 0 and Eq. 3.24 is false.</w:t>
      </w:r>
    </w:p>
    <w:p w14:paraId="15EED860" w14:textId="77777777" w:rsidR="003A3158" w:rsidRDefault="00791551">
      <w:pPr>
        <w:pStyle w:val="Compact"/>
        <w:numPr>
          <w:ilvl w:val="1"/>
          <w:numId w:val="4"/>
        </w:numPr>
      </w:pPr>
      <w:r>
        <w:t>The likelier cause of 0.4768 is that without W_skip a template loses its own 10 flags after layer 1. Test this with self-loops but no residual, and by ablating skip</w:t>
      </w:r>
      <w:r>
        <w:t>s per node type.</w:t>
      </w:r>
    </w:p>
    <w:p w14:paraId="06EFA296" w14:textId="77777777" w:rsidR="003A3158" w:rsidRDefault="00791551">
      <w:pPr>
        <w:numPr>
          <w:ilvl w:val="0"/>
          <w:numId w:val="2"/>
        </w:numPr>
      </w:pPr>
      <w:r>
        <w:rPr>
          <w:b/>
          <w:bCs/>
        </w:rPr>
        <w:t>Theorem 2 (NP-hardness) is invalid.</w:t>
      </w:r>
    </w:p>
    <w:p w14:paraId="323D0173" w14:textId="77777777" w:rsidR="003A3158" w:rsidRDefault="00791551">
      <w:pPr>
        <w:pStyle w:val="Compact"/>
        <w:numPr>
          <w:ilvl w:val="1"/>
          <w:numId w:val="5"/>
        </w:numPr>
      </w:pPr>
      <w:r>
        <w:t>Eq. 9.5 and A.23 ask to cut every S→T path. That is one min-cut with a super-source and super-sink, solvable in polynomial time.</w:t>
      </w:r>
    </w:p>
    <w:p w14:paraId="696D7204" w14:textId="77777777" w:rsidR="003A3158" w:rsidRDefault="00791551">
      <w:pPr>
        <w:pStyle w:val="Compact"/>
        <w:numPr>
          <w:ilvl w:val="1"/>
          <w:numId w:val="5"/>
        </w:numPr>
      </w:pPr>
      <w:r>
        <w:t>The reduction only works by separating s_i→t_j for i≠j (step 2c), which is</w:t>
      </w:r>
      <w:r>
        <w:t xml:space="preserve"> not the problem you defined. The forward direction also fails, because s_i→t_i cycles must be cut too.</w:t>
      </w:r>
    </w:p>
    <w:p w14:paraId="26BBEA1B" w14:textId="77777777" w:rsidR="003A3158" w:rsidRDefault="00791551">
      <w:pPr>
        <w:pStyle w:val="Compact"/>
        <w:numPr>
          <w:ilvl w:val="1"/>
          <w:numId w:val="5"/>
        </w:numPr>
      </w:pPr>
      <w:r>
        <w:t>Directed multiway cut is hard because it separates terminals from each other, and it is already NP-hard at k = 2. DIR-MC with k=2 is not the same as the</w:t>
      </w:r>
      <w:r>
        <w:t xml:space="preserve"> s-t cut problem.</w:t>
      </w:r>
    </w:p>
    <w:p w14:paraId="1210E1CE" w14:textId="77777777" w:rsidR="003A3158" w:rsidRDefault="00791551">
      <w:pPr>
        <w:pStyle w:val="Compact"/>
        <w:numPr>
          <w:ilvl w:val="1"/>
          <w:numId w:val="5"/>
        </w:numPr>
      </w:pPr>
      <w:r>
        <w:t>Corollary 9.1 (O(2^|E|)) and the O(log|T|) ratio for Algorithm 4 are unsupported.</w:t>
      </w:r>
    </w:p>
    <w:p w14:paraId="2CB36711" w14:textId="77777777" w:rsidR="003A3158" w:rsidRDefault="00791551">
      <w:pPr>
        <w:numPr>
          <w:ilvl w:val="0"/>
          <w:numId w:val="2"/>
        </w:numPr>
      </w:pPr>
      <w:r>
        <w:rPr>
          <w:b/>
          <w:bCs/>
        </w:rPr>
        <w:t>The baselines are strawmen or outdated.</w:t>
      </w:r>
    </w:p>
    <w:p w14:paraId="7985B8BC" w14:textId="77777777" w:rsidR="003A3158" w:rsidRDefault="00791551">
      <w:pPr>
        <w:pStyle w:val="Compact"/>
        <w:numPr>
          <w:ilvl w:val="1"/>
          <w:numId w:val="6"/>
        </w:numPr>
      </w:pPr>
      <w:r>
        <w:lastRenderedPageBreak/>
        <w:t>“Certipy” and “BloodHound BFS” are your reimplementations, not the tools.</w:t>
      </w:r>
    </w:p>
    <w:p w14:paraId="1A0D0207" w14:textId="77777777" w:rsidR="003A3158" w:rsidRDefault="00791551">
      <w:pPr>
        <w:pStyle w:val="Compact"/>
        <w:numPr>
          <w:ilvl w:val="1"/>
          <w:numId w:val="6"/>
        </w:numPr>
      </w:pPr>
      <w:r>
        <w:t>BloodHound has supported ADCS attack paths</w:t>
      </w:r>
      <w:r>
        <w:t xml:space="preserve"> natively since v5.4.0 (Jan 2024), and its post-processed edges include ESC1, 3, 4, 6, 9, 10 and 13.</w:t>
      </w:r>
    </w:p>
    <w:p w14:paraId="00139898" w14:textId="77777777" w:rsidR="003A3158" w:rsidRDefault="00791551">
      <w:pPr>
        <w:pStyle w:val="Compact"/>
        <w:numPr>
          <w:ilvl w:val="1"/>
          <w:numId w:val="6"/>
        </w:numPr>
      </w:pPr>
      <w:r>
        <w:t>Certipy’s README claims detection across ESC1–ESC17. As far as I know it also reports who can enroll, so re-run the real tools and state versions.</w:t>
      </w:r>
    </w:p>
    <w:p w14:paraId="0AD1AEBA" w14:textId="77777777" w:rsidR="003A3158" w:rsidRDefault="00791551">
      <w:pPr>
        <w:pStyle w:val="Compact"/>
        <w:numPr>
          <w:ilvl w:val="1"/>
          <w:numId w:val="6"/>
        </w:numPr>
      </w:pPr>
      <w:r>
        <w:t>Your BFS scores 0.9082 in-distribution and 84.13% on hard negatives. If ground truth is reachability, an exact BFS should score 100%, so labels and oracle disagree somewhere.</w:t>
      </w:r>
    </w:p>
    <w:p w14:paraId="2928CF31" w14:textId="77777777" w:rsidR="003A3158" w:rsidRDefault="00791551">
      <w:pPr>
        <w:numPr>
          <w:ilvl w:val="0"/>
          <w:numId w:val="2"/>
        </w:numPr>
      </w:pPr>
      <w:r>
        <w:rPr>
          <w:b/>
          <w:bCs/>
        </w:rPr>
        <w:t>The zero-shot experiment is under-identified and contradicts Chapter 6.</w:t>
      </w:r>
    </w:p>
    <w:p w14:paraId="1DA16616" w14:textId="77777777" w:rsidR="003A3158" w:rsidRDefault="00791551">
      <w:pPr>
        <w:pStyle w:val="Compact"/>
        <w:numPr>
          <w:ilvl w:val="1"/>
          <w:numId w:val="7"/>
        </w:numPr>
      </w:pPr>
      <w:r>
        <w:t xml:space="preserve">With n = </w:t>
      </w:r>
      <w:r>
        <w:t>63, BFS 53/63 = 84.1% has a 95% Wilson interval of about 73–91%. CertGraph 1/63 = 1.6% has about 0.3–8.5%.</w:t>
      </w:r>
    </w:p>
    <w:p w14:paraId="53D60EBE" w14:textId="77777777" w:rsidR="003A3158" w:rsidRDefault="00791551">
      <w:pPr>
        <w:pStyle w:val="Compact"/>
        <w:numPr>
          <w:ilvl w:val="1"/>
          <w:numId w:val="7"/>
        </w:numPr>
      </w:pPr>
      <w:r>
        <w:t>Training contains no template with dangerous flags and no path, so “flags ⇒ vulnerable” and “path ⇒ vulnerable” fit equally well. Choosing the simple</w:t>
      </w:r>
      <w:r>
        <w:t>r rule is under-specification, not proof that GNNs fail.</w:t>
      </w:r>
    </w:p>
    <w:p w14:paraId="56006411" w14:textId="77777777" w:rsidR="003A3158" w:rsidRDefault="00791551">
      <w:pPr>
        <w:pStyle w:val="Compact"/>
        <w:numPr>
          <w:ilvl w:val="1"/>
          <w:numId w:val="7"/>
        </w:numPr>
      </w:pPr>
      <w:r>
        <w:t>Train with hard negatives on some topology families and hold others out. Also add counterfactual augmentation.</w:t>
      </w:r>
    </w:p>
    <w:p w14:paraId="680BC03B" w14:textId="77777777" w:rsidR="003A3158" w:rsidRDefault="00791551">
      <w:pPr>
        <w:pStyle w:val="Compact"/>
        <w:numPr>
          <w:ilvl w:val="1"/>
          <w:numId w:val="7"/>
        </w:numPr>
      </w:pPr>
      <w:r>
        <w:t>Table 6.1 says the same synthetic-only model suppresses HN_ESC1 and HN_ESC4 on GOAD, whi</w:t>
      </w:r>
      <w:r>
        <w:t>le Table 5.5 says it gets 1/63. These must be reconciled.</w:t>
      </w:r>
    </w:p>
    <w:p w14:paraId="25DA9265" w14:textId="77777777" w:rsidR="003A3158" w:rsidRDefault="00791551">
      <w:pPr>
        <w:numPr>
          <w:ilvl w:val="0"/>
          <w:numId w:val="2"/>
        </w:numPr>
      </w:pPr>
      <w:r>
        <w:rPr>
          <w:b/>
          <w:bCs/>
        </w:rPr>
        <w:t>The real-world evidence is thin.</w:t>
      </w:r>
    </w:p>
    <w:p w14:paraId="4D2EE2F0" w14:textId="77777777" w:rsidR="003A3158" w:rsidRDefault="00791551">
      <w:pPr>
        <w:pStyle w:val="Compact"/>
        <w:numPr>
          <w:ilvl w:val="1"/>
          <w:numId w:val="8"/>
        </w:numPr>
      </w:pPr>
      <w:r>
        <w:t>The GOAD cases are 10 templates the authors deployed themselves, but §6.5 reports 7 per domain.</w:t>
      </w:r>
    </w:p>
    <w:p w14:paraId="1AC4FE83" w14:textId="77777777" w:rsidR="003A3158" w:rsidRDefault="00791551">
      <w:pPr>
        <w:pStyle w:val="Compact"/>
        <w:numPr>
          <w:ilvl w:val="1"/>
          <w:numId w:val="8"/>
        </w:numPr>
      </w:pPr>
      <w:r>
        <w:t>“63/63” is 7 cases × 3 domains × 3 dates, the same objects re-collect</w:t>
      </w:r>
      <w:r>
        <w:t>ed.</w:t>
      </w:r>
    </w:p>
    <w:p w14:paraId="12649B98" w14:textId="77777777" w:rsidR="003A3158" w:rsidRDefault="00791551">
      <w:pPr>
        <w:pStyle w:val="Compact"/>
        <w:numPr>
          <w:ilvl w:val="1"/>
          <w:numId w:val="8"/>
        </w:numPr>
      </w:pPr>
      <w:r>
        <w:t>The “external community” data is another GOAD install, so it is not independent.</w:t>
      </w:r>
    </w:p>
    <w:p w14:paraId="38B1CBF1" w14:textId="77777777" w:rsidR="003A3158" w:rsidRDefault="00791551">
      <w:pPr>
        <w:pStyle w:val="Compact"/>
        <w:numPr>
          <w:ilvl w:val="1"/>
          <w:numId w:val="8"/>
        </w:numPr>
      </w:pPr>
      <w:r>
        <w:t>ADSynth is described as generating realistic AD graphs organised by tiers with misconfigurations. I found no ADCS template or ESC generation, so explain how ESC labels wer</w:t>
      </w:r>
      <w:r>
        <w:t>e attached for the 1.0000 zero-shot F1 in Table 7.1.</w:t>
      </w:r>
    </w:p>
    <w:p w14:paraId="17E9BF75" w14:textId="77777777" w:rsidR="003A3158" w:rsidRDefault="00791551">
      <w:pPr>
        <w:numPr>
          <w:ilvl w:val="0"/>
          <w:numId w:val="2"/>
        </w:numPr>
      </w:pPr>
      <w:r>
        <w:rPr>
          <w:b/>
          <w:bCs/>
        </w:rPr>
        <w:t>The robustness and scalability claims don’t stand.</w:t>
      </w:r>
    </w:p>
    <w:p w14:paraId="7D62BC59" w14:textId="77777777" w:rsidR="003A3158" w:rsidRDefault="00791551">
      <w:pPr>
        <w:pStyle w:val="Compact"/>
        <w:numPr>
          <w:ilvl w:val="1"/>
          <w:numId w:val="9"/>
        </w:numPr>
      </w:pPr>
      <w:r>
        <w:t>Edge deletions should change path-dependent labels, but you scored against the original labels.</w:t>
      </w:r>
    </w:p>
    <w:p w14:paraId="4FE0A229" w14:textId="77777777" w:rsidR="003A3158" w:rsidRDefault="00791551">
      <w:pPr>
        <w:pStyle w:val="Compact"/>
        <w:numPr>
          <w:ilvl w:val="1"/>
          <w:numId w:val="9"/>
        </w:numPr>
      </w:pPr>
      <w:r>
        <w:t>Insensitivity to deletions is what shortcut learning pre</w:t>
      </w:r>
      <w:r>
        <w:t>dicts, which contradicts Chapters 5 and 8.</w:t>
      </w:r>
    </w:p>
    <w:p w14:paraId="77B9D43C" w14:textId="77777777" w:rsidR="003A3158" w:rsidRDefault="00791551">
      <w:pPr>
        <w:pStyle w:val="Compact"/>
        <w:numPr>
          <w:ilvl w:val="1"/>
          <w:numId w:val="9"/>
        </w:numPr>
      </w:pPr>
      <w:r>
        <w:t>A 5% flag flip drops F1 to 0.8412. That is fragility, not confirmation.</w:t>
      </w:r>
    </w:p>
    <w:p w14:paraId="2F0FFDBB" w14:textId="77777777" w:rsidR="003A3158" w:rsidRDefault="00791551">
      <w:pPr>
        <w:pStyle w:val="Compact"/>
        <w:numPr>
          <w:ilvl w:val="1"/>
          <w:numId w:val="9"/>
        </w:numPr>
      </w:pPr>
      <w:r>
        <w:t>“Strictly linear” latency fails. From 5,000 to 10,000 nodes, edges go ×2 but latency goes ×3.05 (112.5 → 342.99 ms). Ms per 1k edges runs 1.0</w:t>
      </w:r>
      <w:r>
        <w:t>2, 0.33, 0.26, 0.29, 0.45.</w:t>
      </w:r>
    </w:p>
    <w:p w14:paraId="1385B332" w14:textId="77777777" w:rsidR="003A3158" w:rsidRDefault="00791551">
      <w:pPr>
        <w:pStyle w:val="Compact"/>
        <w:numPr>
          <w:ilvl w:val="1"/>
          <w:numId w:val="9"/>
        </w:numPr>
      </w:pPr>
      <w:r>
        <w:t>RSS is 894.64 MB at every scale. At 765k edges, edge_index is only about 12 MB, so this is the framework baseline, not a scaling result.</w:t>
      </w:r>
    </w:p>
    <w:p w14:paraId="0B384ADA" w14:textId="77777777" w:rsidR="003A3158" w:rsidRDefault="00791551">
      <w:pPr>
        <w:pStyle w:val="Compact"/>
        <w:numPr>
          <w:ilvl w:val="1"/>
          <w:numId w:val="9"/>
        </w:numPr>
      </w:pPr>
      <w:r>
        <w:t xml:space="preserve">Your scaling graphs have 76.5 edges per node, against about 4 in the benchmark. DBCreator’s </w:t>
      </w:r>
      <w:r>
        <w:t>R2000 graph has 5,997 nodes and 18,795 edges.</w:t>
      </w:r>
    </w:p>
    <w:p w14:paraId="099C3DD4" w14:textId="77777777" w:rsidR="003A3158" w:rsidRDefault="00791551">
      <w:pPr>
        <w:pStyle w:val="Compact"/>
        <w:numPr>
          <w:ilvl w:val="1"/>
          <w:numId w:val="9"/>
        </w:numPr>
      </w:pPr>
      <w:r>
        <w:lastRenderedPageBreak/>
        <w:t>“BFS exceeds 45 s” contradicts O(V+E). Only enumerating all paths is exponential.</w:t>
      </w:r>
    </w:p>
    <w:p w14:paraId="49FC9D12" w14:textId="77777777" w:rsidR="003A3158" w:rsidRDefault="00791551">
      <w:pPr>
        <w:numPr>
          <w:ilvl w:val="0"/>
          <w:numId w:val="2"/>
        </w:numPr>
      </w:pPr>
      <w:r>
        <w:rPr>
          <w:b/>
          <w:bCs/>
        </w:rPr>
        <w:t>The hybrid claims are misleading.</w:t>
      </w:r>
    </w:p>
    <w:p w14:paraId="7B229812" w14:textId="77777777" w:rsidR="003A3158" w:rsidRDefault="00791551">
      <w:pPr>
        <w:pStyle w:val="Compact"/>
        <w:numPr>
          <w:ilvl w:val="1"/>
          <w:numId w:val="10"/>
        </w:numPr>
      </w:pPr>
      <w:r>
        <w:t>One multi-source BFS from all low-privileged nodes costs O(V+E) once, not 200 times, so the GNN filter gains nothing asymptotically. “O(1) amortized” is also wrong.</w:t>
      </w:r>
    </w:p>
    <w:p w14:paraId="7930F740" w14:textId="77777777" w:rsidR="003A3158" w:rsidRDefault="00791551">
      <w:pPr>
        <w:pStyle w:val="Compact"/>
        <w:numPr>
          <w:ilvl w:val="1"/>
          <w:numId w:val="10"/>
        </w:numPr>
      </w:pPr>
      <w:r>
        <w:t>“Zero false positives” is inherited trivially from the oracle. The real risk is Tier-1 fals</w:t>
      </w:r>
      <w:r>
        <w:t>e negatives after pruning 95% of templates, and pipeline recall is never reported.</w:t>
      </w:r>
    </w:p>
    <w:p w14:paraId="668A573F" w14:textId="77777777" w:rsidR="003A3158" w:rsidRDefault="00791551">
      <w:pPr>
        <w:numPr>
          <w:ilvl w:val="0"/>
          <w:numId w:val="2"/>
        </w:numPr>
      </w:pPr>
      <w:r>
        <w:rPr>
          <w:b/>
          <w:bCs/>
        </w:rPr>
        <w:t>Chapter 9 is under-supported.</w:t>
      </w:r>
    </w:p>
    <w:p w14:paraId="6441F59C" w14:textId="77777777" w:rsidR="003A3158" w:rsidRDefault="00791551">
      <w:pPr>
        <w:pStyle w:val="Compact"/>
        <w:numPr>
          <w:ilvl w:val="1"/>
          <w:numId w:val="11"/>
        </w:numPr>
      </w:pPr>
      <w:r>
        <w:t>Σc(e) is linear, not strictly convex.</w:t>
      </w:r>
    </w:p>
    <w:p w14:paraId="517846D3" w14:textId="77777777" w:rsidR="003A3158" w:rsidRDefault="00791551">
      <w:pPr>
        <w:pStyle w:val="Compact"/>
        <w:numPr>
          <w:ilvl w:val="1"/>
          <w:numId w:val="11"/>
        </w:numPr>
      </w:pPr>
      <w:r>
        <w:t>Joint attacker–defender learning is not a gradient flow, so the Lyapunov argument fails.</w:t>
      </w:r>
    </w:p>
    <w:p w14:paraId="0E41EEBD" w14:textId="77777777" w:rsidR="003A3158" w:rsidRDefault="00791551">
      <w:pPr>
        <w:pStyle w:val="Compact"/>
        <w:numPr>
          <w:ilvl w:val="1"/>
          <w:numId w:val="11"/>
        </w:numPr>
      </w:pPr>
      <w:r>
        <w:t>The simulation (100 topologies, 250 episodes, “100% neutralized”) has no protocol, baselines or seeds.</w:t>
      </w:r>
    </w:p>
    <w:p w14:paraId="12707339" w14:textId="77777777" w:rsidR="003A3158" w:rsidRDefault="00791551">
      <w:pPr>
        <w:pStyle w:val="Compact"/>
        <w:numPr>
          <w:ilvl w:val="1"/>
          <w:numId w:val="11"/>
        </w:numPr>
      </w:pPr>
      <w:r>
        <w:t>Published work already treats AD edge-blocking as a Stackelberg game (Guo et al., AAAI 2023) and uses GNNs for AD defence (Goel et al., 2025). Neither is</w:t>
      </w:r>
      <w:r>
        <w:t xml:space="preserve"> cited, so the “first” claims can’t stand.</w:t>
      </w:r>
    </w:p>
    <w:p w14:paraId="7F010BC6" w14:textId="77777777" w:rsidR="003A3158" w:rsidRDefault="00791551">
      <w:pPr>
        <w:numPr>
          <w:ilvl w:val="0"/>
          <w:numId w:val="2"/>
        </w:numPr>
      </w:pPr>
      <w:r>
        <w:rPr>
          <w:b/>
          <w:bCs/>
        </w:rPr>
        <w:t>Scope does not match the claims.</w:t>
      </w:r>
      <w:r>
        <w:t xml:space="preserve"> The title and abstract say ESC1–ESC15, but only ESC1, 2, 3, 4, 9 and 13 are evaluated, and RQ1 says ESC1–ESC13. Two layers are called “sufficient for all standard paths”, yet neste</w:t>
      </w:r>
      <w:r>
        <w:t>d groups have unbounded depth. The taxonomy is also no longer 15 items.</w:t>
      </w:r>
    </w:p>
    <w:p w14:paraId="662DA25D" w14:textId="77777777" w:rsidR="003A3158" w:rsidRDefault="00791551">
      <w:pPr>
        <w:numPr>
          <w:ilvl w:val="0"/>
          <w:numId w:val="2"/>
        </w:numPr>
      </w:pPr>
      <w:r>
        <w:rPr>
          <w:b/>
          <w:bCs/>
        </w:rPr>
        <w:t>The statistics need work.</w:t>
      </w:r>
      <w:r>
        <w:t xml:space="preserve"> Paired t-tests over 5 overlapping folds (p = 1.31×10⁻⁶) overstate the evidence. Use repeated CV with a corrected test, or bootstrap intervals over multiple se</w:t>
      </w:r>
      <w:r>
        <w:t>eds. Table 4.2 also doesn’t reproduce: 9 observed vs 9.33 expected gives χ² = 0.012 (p = 0.91), not 0.041. For 700/700 it is about 51,800, not 36,258.4.</w:t>
      </w:r>
    </w:p>
    <w:p w14:paraId="7FBAB84D" w14:textId="77777777" w:rsidR="003A3158" w:rsidRDefault="00791551">
      <w:pPr>
        <w:numPr>
          <w:ilvl w:val="0"/>
          <w:numId w:val="2"/>
        </w:numPr>
      </w:pPr>
      <w:r>
        <w:rPr>
          <w:b/>
          <w:bCs/>
        </w:rPr>
        <w:t>Presentation.</w:t>
      </w:r>
    </w:p>
    <w:p w14:paraId="393D5F1B" w14:textId="77777777" w:rsidR="003A3158" w:rsidRDefault="00791551">
      <w:pPr>
        <w:pStyle w:val="Compact"/>
        <w:numPr>
          <w:ilvl w:val="1"/>
          <w:numId w:val="12"/>
        </w:numPr>
      </w:pPr>
      <w:r>
        <w:t>§2.1 duplicates §1.1, and the title page is duplicated.</w:t>
      </w:r>
    </w:p>
    <w:p w14:paraId="02764F7A" w14:textId="77777777" w:rsidR="003A3158" w:rsidRDefault="00791551">
      <w:pPr>
        <w:pStyle w:val="Compact"/>
        <w:numPr>
          <w:ilvl w:val="1"/>
          <w:numId w:val="12"/>
        </w:numPr>
      </w:pPr>
      <w:r>
        <w:t>Chapter 10 mentions “Appendix A a</w:t>
      </w:r>
      <w:r>
        <w:t>nd B” but only A exists.</w:t>
      </w:r>
    </w:p>
    <w:p w14:paraId="0FD3A56F" w14:textId="77777777" w:rsidR="003A3158" w:rsidRDefault="00791551">
      <w:pPr>
        <w:pStyle w:val="Compact"/>
        <w:numPr>
          <w:ilvl w:val="1"/>
          <w:numId w:val="12"/>
        </w:numPr>
      </w:pPr>
      <w:r>
        <w:t>Theorem numbering is inconsistent.</w:t>
      </w:r>
    </w:p>
    <w:p w14:paraId="457E49F3" w14:textId="77777777" w:rsidR="003A3158" w:rsidRDefault="00791551">
      <w:pPr>
        <w:pStyle w:val="Compact"/>
        <w:numPr>
          <w:ilvl w:val="1"/>
          <w:numId w:val="12"/>
        </w:numPr>
      </w:pPr>
      <w:r>
        <w:t>The AWDP and DDQN acronyms are unused.</w:t>
      </w:r>
    </w:p>
    <w:p w14:paraId="18E7C9B8" w14:textId="77777777" w:rsidR="003A3158" w:rsidRDefault="00791551">
      <w:pPr>
        <w:pStyle w:val="Compact"/>
        <w:numPr>
          <w:ilvl w:val="1"/>
          <w:numId w:val="12"/>
        </w:numPr>
      </w:pPr>
      <w:r>
        <w:t>Terms like “landmark”, “flawless” and “mathematically guaranteed” should go.</w:t>
      </w:r>
    </w:p>
    <w:p w14:paraId="0F32548A" w14:textId="77777777" w:rsidR="003A3158" w:rsidRDefault="00791551">
      <w:pPr>
        <w:pStyle w:val="Compact"/>
        <w:numPr>
          <w:ilvl w:val="1"/>
          <w:numId w:val="12"/>
        </w:numPr>
      </w:pPr>
      <w:r>
        <w:t>Check the GOAD host roles. As far as I know, meereen is a DC and braavos a serve</w:t>
      </w:r>
      <w:r>
        <w:t>r.</w:t>
      </w:r>
    </w:p>
    <w:p w14:paraId="18E1EA8E" w14:textId="77777777" w:rsidR="003A3158" w:rsidRDefault="00791551">
      <w:pPr>
        <w:pStyle w:val="Compact"/>
        <w:numPr>
          <w:ilvl w:val="1"/>
          <w:numId w:val="12"/>
        </w:numPr>
      </w:pPr>
      <w:r>
        <w:t>§1.3 and Table 2.1 describe ESC12 differently.</w:t>
      </w:r>
    </w:p>
    <w:p w14:paraId="2DF01ACF" w14:textId="77777777" w:rsidR="003A3158" w:rsidRDefault="00791551">
      <w:pPr>
        <w:pStyle w:val="Heading2"/>
      </w:pPr>
      <w:r>
        <w:t>Part 2: Bibliography cross-check</w:t>
      </w:r>
    </w:p>
    <w:p w14:paraId="6F414D24" w14:textId="77777777" w:rsidR="003A3158" w:rsidRDefault="00791551">
      <w:pPr>
        <w:pStyle w:val="FirstParagraph"/>
      </w:pPr>
      <w:r>
        <w:t>I checked items 2, 3, 4, 14, 15, 16 and 18 online. The rest match what I know but I did not pull publisher pages, so verify their DOIs.</w:t>
      </w:r>
    </w:p>
    <w:tbl>
      <w:tblPr>
        <w:tblStyle w:val="Table"/>
        <w:tblW w:w="5000" w:type="pct"/>
        <w:tblLayout w:type="fixed"/>
        <w:tblLook w:val="0020" w:firstRow="1" w:lastRow="0" w:firstColumn="0" w:lastColumn="0" w:noHBand="0" w:noVBand="0"/>
      </w:tblPr>
      <w:tblGrid>
        <w:gridCol w:w="3192"/>
        <w:gridCol w:w="3192"/>
        <w:gridCol w:w="3192"/>
      </w:tblGrid>
      <w:tr w:rsidR="003A3158" w14:paraId="56639274" w14:textId="77777777" w:rsidTr="003A315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7394508" w14:textId="77777777" w:rsidR="003A3158" w:rsidRDefault="00791551">
            <w:pPr>
              <w:pStyle w:val="Compact"/>
              <w:jc w:val="center"/>
            </w:pPr>
            <w:r>
              <w:lastRenderedPageBreak/>
              <w: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B1A0D90" w14:textId="77777777" w:rsidR="003A3158" w:rsidRDefault="00791551">
            <w:pPr>
              <w:pStyle w:val="Compact"/>
              <w:jc w:val="center"/>
            </w:pPr>
            <w:r>
              <w:t>Verdict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18715FF" w14:textId="77777777" w:rsidR="003A3158" w:rsidRDefault="00791551">
            <w:pPr>
              <w:pStyle w:val="Compact"/>
              <w:jc w:val="center"/>
            </w:pPr>
            <w:r>
              <w:t>Finding</w:t>
            </w:r>
          </w:p>
        </w:tc>
      </w:tr>
      <w:tr w:rsidR="003A3158" w14:paraId="6843FE88"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44F65C88" w14:textId="77777777" w:rsidR="003A3158" w:rsidRDefault="00791551">
            <w:pPr>
              <w:pStyle w:val="Compact"/>
            </w:pPr>
            <w:r>
              <w:t>1</w:t>
            </w:r>
          </w:p>
        </w:tc>
        <w:tc>
          <w:tcPr>
            <w:tcW w:w="2640" w:type="dxa"/>
            <w:tcBorders>
              <w:top w:val="single" w:sz="10" w:space="0" w:color="000000"/>
              <w:left w:val="single" w:sz="10" w:space="0" w:color="000000"/>
              <w:bottom w:val="single" w:sz="10" w:space="0" w:color="000000"/>
              <w:right w:val="single" w:sz="10" w:space="0" w:color="000000"/>
            </w:tcBorders>
          </w:tcPr>
          <w:p w14:paraId="3A48B8EE"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12EB4F0A" w14:textId="77777777" w:rsidR="003A3158" w:rsidRDefault="00791551">
            <w:pPr>
              <w:pStyle w:val="Compact"/>
            </w:pPr>
            <w:r>
              <w:t>Real (Schroeder &amp; Christensen, 2021). URL not checked.</w:t>
            </w:r>
          </w:p>
        </w:tc>
      </w:tr>
      <w:tr w:rsidR="003A3158" w14:paraId="73AAB1FF"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1388A7B0" w14:textId="77777777" w:rsidR="003A3158" w:rsidRDefault="00791551">
            <w:pPr>
              <w:pStyle w:val="Compact"/>
            </w:pPr>
            <w:r>
              <w:t>2</w:t>
            </w:r>
          </w:p>
        </w:tc>
        <w:tc>
          <w:tcPr>
            <w:tcW w:w="2640" w:type="dxa"/>
            <w:tcBorders>
              <w:top w:val="single" w:sz="10" w:space="0" w:color="000000"/>
              <w:left w:val="single" w:sz="10" w:space="0" w:color="000000"/>
              <w:bottom w:val="single" w:sz="10" w:space="0" w:color="000000"/>
              <w:right w:val="single" w:sz="10" w:space="0" w:color="000000"/>
            </w:tcBorders>
          </w:tcPr>
          <w:p w14:paraId="7C95BD36"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1788BC40" w14:textId="77777777" w:rsidR="003A3158" w:rsidRDefault="00791551">
            <w:pPr>
              <w:pStyle w:val="Compact"/>
            </w:pPr>
            <w:r>
              <w:t>EKUwu was found by Justin Bollinger of TrustedSec (Oct 2024), and Microsoft patched it as CVE-2024-49019 on Nov 12, 2024. “Feynman &amp; Bülow, Compass Security” doesn’t match.</w:t>
            </w:r>
          </w:p>
        </w:tc>
      </w:tr>
      <w:tr w:rsidR="003A3158" w14:paraId="1EC02098"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767B802A" w14:textId="77777777" w:rsidR="003A3158" w:rsidRDefault="00791551">
            <w:pPr>
              <w:pStyle w:val="Compact"/>
            </w:pPr>
            <w:r>
              <w:t>3</w:t>
            </w:r>
          </w:p>
        </w:tc>
        <w:tc>
          <w:tcPr>
            <w:tcW w:w="2640" w:type="dxa"/>
            <w:tcBorders>
              <w:top w:val="single" w:sz="10" w:space="0" w:color="000000"/>
              <w:left w:val="single" w:sz="10" w:space="0" w:color="000000"/>
              <w:bottom w:val="single" w:sz="10" w:space="0" w:color="000000"/>
              <w:right w:val="single" w:sz="10" w:space="0" w:color="000000"/>
            </w:tcBorders>
          </w:tcPr>
          <w:p w14:paraId="7AF0C743"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021946DC" w14:textId="77777777" w:rsidR="003A3158" w:rsidRDefault="00791551">
            <w:pPr>
              <w:pStyle w:val="Compact"/>
            </w:pPr>
            <w:r>
              <w:t>Author right. I fo</w:t>
            </w:r>
            <w:r>
              <w:t>und no Black Hat talk. It is a GitHub tool with blog posts for Certipy 2.0 and 4.0.</w:t>
            </w:r>
          </w:p>
        </w:tc>
      </w:tr>
      <w:tr w:rsidR="003A3158" w14:paraId="2FE2D4D4"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4BAF2350" w14:textId="77777777" w:rsidR="003A3158" w:rsidRDefault="00791551">
            <w:pPr>
              <w:pStyle w:val="Compact"/>
            </w:pPr>
            <w:r>
              <w:t>4</w:t>
            </w:r>
          </w:p>
        </w:tc>
        <w:tc>
          <w:tcPr>
            <w:tcW w:w="2640" w:type="dxa"/>
            <w:tcBorders>
              <w:top w:val="single" w:sz="10" w:space="0" w:color="000000"/>
              <w:left w:val="single" w:sz="10" w:space="0" w:color="000000"/>
              <w:bottom w:val="single" w:sz="10" w:space="0" w:color="000000"/>
              <w:right w:val="single" w:sz="10" w:space="0" w:color="000000"/>
            </w:tcBorders>
          </w:tcPr>
          <w:p w14:paraId="18EA9878"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7AE7F65A" w14:textId="77777777" w:rsidR="003A3158" w:rsidRDefault="00791551">
            <w:pPr>
              <w:pStyle w:val="Compact"/>
            </w:pPr>
            <w:r>
              <w:t>The talk is real at BSidesLV (Aug 3, 2016) and DEF CON 24 (Aug 6, 2016), but your title matches neither. The authors are Robbins, Vazarkar and Schroeder, so in-text “R</w:t>
            </w:r>
            <w:r>
              <w:t>obbins, Schroeder, and Morreale” is wrong.</w:t>
            </w:r>
          </w:p>
        </w:tc>
      </w:tr>
      <w:tr w:rsidR="003A3158" w14:paraId="4C1009FD"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2C0BA5DA" w14:textId="77777777" w:rsidR="003A3158" w:rsidRDefault="00791551">
            <w:pPr>
              <w:pStyle w:val="Compact"/>
            </w:pPr>
            <w:r>
              <w:t>5–13</w:t>
            </w:r>
          </w:p>
        </w:tc>
        <w:tc>
          <w:tcPr>
            <w:tcW w:w="2640" w:type="dxa"/>
            <w:tcBorders>
              <w:top w:val="single" w:sz="10" w:space="0" w:color="000000"/>
              <w:left w:val="single" w:sz="10" w:space="0" w:color="000000"/>
              <w:bottom w:val="single" w:sz="10" w:space="0" w:color="000000"/>
              <w:right w:val="single" w:sz="10" w:space="0" w:color="000000"/>
            </w:tcBorders>
          </w:tcPr>
          <w:p w14:paraId="55E6780E"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0598A574" w14:textId="77777777" w:rsidR="003A3158" w:rsidRDefault="00791551">
            <w:pPr>
              <w:pStyle w:val="Compact"/>
            </w:pPr>
            <w:r>
              <w:t>Gilmer, Geirhos, Sheyner, Kipf, Hamilton, Veličković, R-GCN, HAN and HGT details look right.</w:t>
            </w:r>
          </w:p>
        </w:tc>
      </w:tr>
      <w:tr w:rsidR="003A3158" w14:paraId="4919234B"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1E5C0741" w14:textId="77777777" w:rsidR="003A3158" w:rsidRDefault="00791551">
            <w:pPr>
              <w:pStyle w:val="Compact"/>
            </w:pPr>
            <w:r>
              <w:t>14</w:t>
            </w:r>
          </w:p>
        </w:tc>
        <w:tc>
          <w:tcPr>
            <w:tcW w:w="2640" w:type="dxa"/>
            <w:tcBorders>
              <w:top w:val="single" w:sz="10" w:space="0" w:color="000000"/>
              <w:left w:val="single" w:sz="10" w:space="0" w:color="000000"/>
              <w:bottom w:val="single" w:sz="10" w:space="0" w:color="000000"/>
              <w:right w:val="single" w:sz="10" w:space="0" w:color="000000"/>
            </w:tcBorders>
          </w:tcPr>
          <w:p w14:paraId="4B8F0202"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484CE5CF" w14:textId="77777777" w:rsidR="003A3158" w:rsidRDefault="00791551">
            <w:pPr>
              <w:pStyle w:val="Compact"/>
            </w:pPr>
            <w:r>
              <w:t>GOAD is real and hosted by Orange Cyberdefense. I could not verify “L. Courgnaud”. Cite the repo and its a</w:t>
            </w:r>
            <w:r>
              <w:t>ctual author.</w:t>
            </w:r>
          </w:p>
        </w:tc>
      </w:tr>
      <w:tr w:rsidR="003A3158" w14:paraId="00F6A2B3"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646BE011" w14:textId="77777777" w:rsidR="003A3158" w:rsidRDefault="00791551">
            <w:pPr>
              <w:pStyle w:val="Compact"/>
            </w:pPr>
            <w:r>
              <w:t>15</w:t>
            </w:r>
          </w:p>
        </w:tc>
        <w:tc>
          <w:tcPr>
            <w:tcW w:w="2640" w:type="dxa"/>
            <w:tcBorders>
              <w:top w:val="single" w:sz="10" w:space="0" w:color="000000"/>
              <w:left w:val="single" w:sz="10" w:space="0" w:color="000000"/>
              <w:bottom w:val="single" w:sz="10" w:space="0" w:color="000000"/>
              <w:right w:val="single" w:sz="10" w:space="0" w:color="000000"/>
            </w:tcBorders>
          </w:tcPr>
          <w:p w14:paraId="197FD4A1"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580CDFE8" w14:textId="77777777" w:rsidR="003A3158" w:rsidRDefault="00791551">
            <w:pPr>
              <w:pStyle w:val="Compact"/>
            </w:pPr>
            <w:r>
              <w:t>Real ADSynth is by Nguyen, Falkner and Nguyen (DSN 2024, pp. 66–74), titled “Synthesizing Realistic Active Directory Attack Graphs”. Your authors, title and pages are wrong.</w:t>
            </w:r>
          </w:p>
        </w:tc>
      </w:tr>
      <w:tr w:rsidR="003A3158" w14:paraId="4CCC38E7"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10CC5139" w14:textId="77777777" w:rsidR="003A3158" w:rsidRDefault="00791551">
            <w:pPr>
              <w:pStyle w:val="Compact"/>
            </w:pPr>
            <w:r>
              <w:t>16</w:t>
            </w:r>
          </w:p>
        </w:tc>
        <w:tc>
          <w:tcPr>
            <w:tcW w:w="2640" w:type="dxa"/>
            <w:tcBorders>
              <w:top w:val="single" w:sz="10" w:space="0" w:color="000000"/>
              <w:left w:val="single" w:sz="10" w:space="0" w:color="000000"/>
              <w:bottom w:val="single" w:sz="10" w:space="0" w:color="000000"/>
              <w:right w:val="single" w:sz="10" w:space="0" w:color="000000"/>
            </w:tcBorders>
          </w:tcPr>
          <w:p w14:paraId="0954A0EC"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0EAE38F8" w14:textId="77777777" w:rsidR="003A3158" w:rsidRDefault="00791551">
            <w:pPr>
              <w:pStyle w:val="Compact"/>
            </w:pPr>
            <w:r>
              <w:t>Real paper, wrong one for the claim. Directed multiway cut hardness is Garg–Vazirani–</w:t>
            </w:r>
            <w:r>
              <w:lastRenderedPageBreak/>
              <w:t>Yannakakis, “Multiway cuts in directed and node weighted graphs” (ICALP 1994).</w:t>
            </w:r>
          </w:p>
        </w:tc>
      </w:tr>
      <w:tr w:rsidR="003A3158" w14:paraId="05F26DC3"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51AFDDF5" w14:textId="77777777" w:rsidR="003A3158" w:rsidRDefault="00791551">
            <w:pPr>
              <w:pStyle w:val="Compact"/>
            </w:pPr>
            <w:r>
              <w:lastRenderedPageBreak/>
              <w:t>17</w:t>
            </w:r>
          </w:p>
        </w:tc>
        <w:tc>
          <w:tcPr>
            <w:tcW w:w="2640" w:type="dxa"/>
            <w:tcBorders>
              <w:top w:val="single" w:sz="10" w:space="0" w:color="000000"/>
              <w:left w:val="single" w:sz="10" w:space="0" w:color="000000"/>
              <w:bottom w:val="single" w:sz="10" w:space="0" w:color="000000"/>
              <w:right w:val="single" w:sz="10" w:space="0" w:color="000000"/>
            </w:tcBorders>
          </w:tcPr>
          <w:p w14:paraId="62E2CEAD"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321FB869" w14:textId="77777777" w:rsidR="003A3158" w:rsidRDefault="00791551">
            <w:pPr>
              <w:pStyle w:val="Compact"/>
            </w:pPr>
            <w:r>
              <w:t>Borkar 2008.</w:t>
            </w:r>
          </w:p>
        </w:tc>
      </w:tr>
      <w:tr w:rsidR="003A3158" w14:paraId="4F1DF753" w14:textId="77777777" w:rsidTr="003A3158">
        <w:tc>
          <w:tcPr>
            <w:tcW w:w="2640" w:type="dxa"/>
            <w:tcBorders>
              <w:top w:val="single" w:sz="10" w:space="0" w:color="000000"/>
              <w:left w:val="single" w:sz="10" w:space="0" w:color="000000"/>
              <w:bottom w:val="single" w:sz="10" w:space="0" w:color="000000"/>
              <w:right w:val="single" w:sz="10" w:space="0" w:color="000000"/>
            </w:tcBorders>
          </w:tcPr>
          <w:p w14:paraId="40698E9B" w14:textId="77777777" w:rsidR="003A3158" w:rsidRDefault="00791551">
            <w:pPr>
              <w:pStyle w:val="Compact"/>
            </w:pPr>
            <w:r>
              <w:t>18</w:t>
            </w:r>
          </w:p>
        </w:tc>
        <w:tc>
          <w:tcPr>
            <w:tcW w:w="2640" w:type="dxa"/>
            <w:tcBorders>
              <w:top w:val="single" w:sz="10" w:space="0" w:color="000000"/>
              <w:left w:val="single" w:sz="10" w:space="0" w:color="000000"/>
              <w:bottom w:val="single" w:sz="10" w:space="0" w:color="000000"/>
              <w:right w:val="single" w:sz="10" w:space="0" w:color="000000"/>
            </w:tcBorders>
          </w:tcPr>
          <w:p w14:paraId="2C90B610" w14:textId="77777777" w:rsidR="003A3158" w:rsidRDefault="00791551">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46A550EA" w14:textId="77777777" w:rsidR="003A3158" w:rsidRDefault="00791551">
            <w:pPr>
              <w:pStyle w:val="Compact"/>
            </w:pPr>
            <w:r>
              <w:t>Real (SICOMP 1994). Dahlhaus et al. showed k = 3 is NP-hard in the undirected case, not directed multiway cut.</w:t>
            </w:r>
          </w:p>
        </w:tc>
      </w:tr>
    </w:tbl>
    <w:p w14:paraId="4BA60E95" w14:textId="77777777" w:rsidR="003A3158" w:rsidRDefault="00791551">
      <w:pPr>
        <w:pStyle w:val="BodyText"/>
      </w:pPr>
      <w:r>
        <w:rPr>
          <w:b/>
          <w:bCs/>
        </w:rPr>
        <w:t>Text–list mismatches</w:t>
      </w:r>
    </w:p>
    <w:p w14:paraId="3C8A4564" w14:textId="77777777" w:rsidR="003A3158" w:rsidRDefault="00791551">
      <w:pPr>
        <w:pStyle w:val="Compact"/>
        <w:numPr>
          <w:ilvl w:val="0"/>
          <w:numId w:val="13"/>
        </w:numPr>
      </w:pPr>
      <w:r>
        <w:t>Phillips &amp; Swiler (1998), RFC 4556, and PSPKIAudit are cited in the text but absent from the list.</w:t>
      </w:r>
    </w:p>
    <w:p w14:paraId="1F94F050" w14:textId="77777777" w:rsidR="003A3158" w:rsidRDefault="00791551">
      <w:pPr>
        <w:pStyle w:val="Compact"/>
        <w:numPr>
          <w:ilvl w:val="0"/>
          <w:numId w:val="13"/>
        </w:numPr>
      </w:pPr>
      <w:r>
        <w:t>The claims “ADCS in &gt;90%</w:t>
      </w:r>
      <w:r>
        <w:t xml:space="preserve"> of networks” and “APT29/BlackCat/LockBit weaponised ADCS” are uncited. The 90% figure is the Fortune 1000 statistic, which concerns AD, not ADCS.</w:t>
      </w:r>
    </w:p>
    <w:p w14:paraId="2FD3DE84" w14:textId="77777777" w:rsidR="003A3158" w:rsidRDefault="00791551">
      <w:pPr>
        <w:pStyle w:val="Compact"/>
        <w:numPr>
          <w:ilvl w:val="0"/>
          <w:numId w:val="13"/>
        </w:numPr>
      </w:pPr>
      <w:r>
        <w:t>Dates and attribution in §1.3 are wrong. ESC13 was published on Feb 14, 2024, with discovery credited to Adam</w:t>
      </w:r>
      <w:r>
        <w:t xml:space="preserve"> Burford. ESC11 is credited to Sylvain Heiniger and ESC12 to Hans-Joachim Knobloch. The ESC13 blog author is Jonas Bülow Knudsen, not “Jonas Feynman”.</w:t>
      </w:r>
    </w:p>
    <w:p w14:paraId="6E0C434B" w14:textId="77777777" w:rsidR="003A3158" w:rsidRDefault="00791551">
      <w:pPr>
        <w:pStyle w:val="Compact"/>
        <w:numPr>
          <w:ilvl w:val="0"/>
          <w:numId w:val="13"/>
        </w:numPr>
      </w:pPr>
      <w:r>
        <w:t>ESC10 is mixed up with ESC14. ESC14 concerns altSecurityIdentities mapping abuse.</w:t>
      </w:r>
    </w:p>
    <w:p w14:paraId="677E902D" w14:textId="77777777" w:rsidR="003A3158" w:rsidRDefault="00791551">
      <w:pPr>
        <w:pStyle w:val="Heading2"/>
      </w:pPr>
      <w:r>
        <w:t>Part 3: Is the literatu</w:t>
      </w:r>
      <w:r>
        <w:t>re review correct?</w:t>
      </w:r>
    </w:p>
    <w:p w14:paraId="7D6DF8F8" w14:textId="77777777" w:rsidR="003A3158" w:rsidRDefault="00791551">
      <w:pPr>
        <w:pStyle w:val="FirstParagraph"/>
      </w:pPr>
      <w:r>
        <w:t>No, for five reasons:</w:t>
      </w:r>
    </w:p>
    <w:p w14:paraId="7EF52E23" w14:textId="77777777" w:rsidR="003A3158" w:rsidRDefault="00791551">
      <w:pPr>
        <w:pStyle w:val="Compact"/>
        <w:numPr>
          <w:ilvl w:val="0"/>
          <w:numId w:val="14"/>
        </w:numPr>
      </w:pPr>
      <w:r>
        <w:rPr>
          <w:b/>
          <w:bCs/>
        </w:rPr>
        <w:t>Factual errors.</w:t>
      </w:r>
      <w:r>
        <w:t xml:space="preserve"> The attribution and date mistakes above, plus two fabricated-looking references ([2] and [15]).</w:t>
      </w:r>
    </w:p>
    <w:p w14:paraId="1EF7F239" w14:textId="77777777" w:rsidR="003A3158" w:rsidRDefault="00791551">
      <w:pPr>
        <w:pStyle w:val="Compact"/>
        <w:numPr>
          <w:ilvl w:val="0"/>
          <w:numId w:val="14"/>
        </w:numPr>
      </w:pPr>
      <w:r>
        <w:rPr>
          <w:b/>
          <w:bCs/>
        </w:rPr>
        <w:t>Outdated claims.</w:t>
      </w:r>
      <w:r>
        <w:t xml:space="preserve"> </w:t>
      </w:r>
      <w:r>
        <w:t>The statements that BloodHound and Certipy can’t see ESC13 or ADCS are no longer true.</w:t>
      </w:r>
    </w:p>
    <w:p w14:paraId="291431C6" w14:textId="77777777" w:rsidR="003A3158" w:rsidRDefault="00791551">
      <w:pPr>
        <w:pStyle w:val="Compact"/>
        <w:numPr>
          <w:ilvl w:val="0"/>
          <w:numId w:val="14"/>
        </w:numPr>
      </w:pPr>
      <w:r>
        <w:rPr>
          <w:b/>
          <w:bCs/>
        </w:rPr>
        <w:t>A missing core.</w:t>
      </w:r>
      <w:r>
        <w:t xml:space="preserve"> §2.3, “Graph Representation Learning in Security”, cites no security paper at all. Only 18 references support a 107-page thesis.</w:t>
      </w:r>
    </w:p>
    <w:p w14:paraId="06C65432" w14:textId="77777777" w:rsidR="003A3158" w:rsidRDefault="00791551">
      <w:pPr>
        <w:pStyle w:val="Compact"/>
        <w:numPr>
          <w:ilvl w:val="0"/>
          <w:numId w:val="14"/>
        </w:numPr>
      </w:pPr>
      <w:r>
        <w:rPr>
          <w:b/>
          <w:bCs/>
        </w:rPr>
        <w:t>Missing directly relevan</w:t>
      </w:r>
      <w:r>
        <w:rPr>
          <w:b/>
          <w:bCs/>
        </w:rPr>
        <w:t>t work.</w:t>
      </w:r>
      <w:r>
        <w:t xml:space="preserve"> These include AD edge-blocking and Stackelberg games (Guo et al.), GNN-based AD defence (Goel et al.), and Arp et al.’s ten pitfalls of ML in security (USENIX Security 2022). Your “forensic audit” largely rediscovers Arp et al., and you should posi</w:t>
      </w:r>
      <w:r>
        <w:t>tion it against them.</w:t>
      </w:r>
    </w:p>
    <w:p w14:paraId="0198BEC9" w14:textId="77777777" w:rsidR="003A3158" w:rsidRDefault="00791551">
      <w:pPr>
        <w:pStyle w:val="Compact"/>
        <w:numPr>
          <w:ilvl w:val="0"/>
          <w:numId w:val="14"/>
        </w:numPr>
      </w:pPr>
      <w:r>
        <w:rPr>
          <w:b/>
          <w:bCs/>
        </w:rPr>
        <w:t>Novelty claims undocumented.</w:t>
      </w:r>
      <w:r>
        <w:t xml:space="preserve"> I found no ADCS-specific GNN in a quick search, so a narrow “first” may hold. You must show a systematic search, and drop the broader “first” claims.</w:t>
      </w:r>
    </w:p>
    <w:p w14:paraId="16058735" w14:textId="4A78A697" w:rsidR="003A3158" w:rsidRDefault="00791551">
      <w:pPr>
        <w:pStyle w:val="FirstParagraph"/>
      </w:pPr>
      <w:r>
        <w:t>Candidates to add from my own knowledge, which I have n</w:t>
      </w:r>
      <w:r>
        <w:t xml:space="preserve">ot verified here, so check before citing: Ou et al. (MulVAL), Kiekintveld et al. (2009, security games), Pendlebury et </w:t>
      </w:r>
      <w:r>
        <w:lastRenderedPageBreak/>
        <w:t>al. (TESSERACT), Sommer &amp; Paxson (2010), Nadeau &amp; Bengio (2003), and GCNII/DeepGCN for skip connections.</w:t>
      </w:r>
      <w:bookmarkStart w:id="0" w:name="_GoBack"/>
      <w:bookmarkEnd w:id="0"/>
    </w:p>
    <w:sectPr w:rsidR="003A31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193210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1CF5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420F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A3158"/>
    <w:rsid w:val="003A3158"/>
    <w:rsid w:val="0079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2A59"/>
  <w15:docId w15:val="{E2670415-58F7-4B7F-9EC3-5ABBCE3A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1458</Words>
  <Characters>8317</Characters>
  <Application>Microsoft Office Word</Application>
  <DocSecurity>0</DocSecurity>
  <Lines>69</Lines>
  <Paragraphs>19</Paragraphs>
  <ScaleCrop>false</ScaleCrop>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Taufiq Biswas</cp:lastModifiedBy>
  <cp:revision>2</cp:revision>
  <dcterms:created xsi:type="dcterms:W3CDTF">2026-09-28T08:09:00Z</dcterms:created>
  <dcterms:modified xsi:type="dcterms:W3CDTF">2026-09-28T08:10:00Z</dcterms:modified>
</cp:coreProperties>
</file>