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2002126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2002138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2102151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8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identity and cryptographic backbone of modern Windows enterprise networks, issuing public-key certificates used for domain authentication, transport encryption, and single sign-on. When certificate templates, issuance policies, and access control lists (ACLs) are misconfigured, unprivileged accounts can obtain unauthorized administrative certificates and take over entire Active Directory forests. While signature-based scanners (such as Certipy and BloodHound) identify known vulnerable flag combinations, they either evaluate configuration attributes in isolation or incur high traversal costs on dense enterprise graphs.</w:t>
      </w:r>
    </w:p>
    <w:p>
      <w:pPr>
        <w:spacing w:before="0" w:after="120" w:line="276" w:lineRule="auto"/>
        <w:jc w:val="both"/>
      </w:pPr>
      <w:r>
        <w:rPr>
          <w:rFonts w:ascii="Times New Roman" w:hAnsi="Times New Roman"/>
          <w:b w:val="0"/>
          <w:i w:val="0"/>
          <w:sz w:val="22"/>
        </w:rPr>
        <w:t>This thesis examines whether heterogeneous graph attention networks can reliably detect ADCS privilege escalation vectors (ESC1, ESC2, ESC3, ESC4, ESC9, and ESC13) directly from relational identity multigraphs. Using the experimental audit framework of Arp et al. (2022), we first evaluate synthetic Active Directory datasets and identify three systemic methodological pitfalls: positional identifier leakage in generation routines, feature asymmetry between baselines, and benchmark saturation where synthetic rules can be recovered by shallow tabular heuristics. We prove mathematically (Theorem 1) that residual skip-connections are indispensable for preventing representation collapse on identity graphs; without them, template representations become independent of their initial configuration flags, dropping classification F1 from 0.9986 to 0.4768.</w:t>
      </w:r>
    </w:p>
    <w:p>
      <w:pPr>
        <w:spacing w:before="0" w:after="120" w:line="276" w:lineRule="auto"/>
        <w:jc w:val="both"/>
      </w:pPr>
      <w:r>
        <w:rPr>
          <w:rFonts w:ascii="Times New Roman" w:hAnsi="Times New Roman"/>
          <w:b w:val="0"/>
          <w:i w:val="0"/>
          <w:sz w:val="22"/>
        </w:rPr>
        <w:t>On an audited benchmark of 700 enterprise environments evaluated under 5-fold cross-validation with Nadeau-Bengio corrected variance estimators, our model achieves a Macro-F1 of 0.9986, significantly outperforming flat classifiers (0.8600) and signature heuristics (0.7791). However, when tested against an adversarial Zero-Shot Hard Negative suite (n = 63) containing non-exploitable templates with dangerous flags, pure neural models collapse to 1.59% accuracy due to shortcut learning on local template flags. Symbolic path traversal, by contrast, correctly recognizes path absence in 84.13% of cases.</w:t>
      </w:r>
    </w:p>
    <w:p>
      <w:pPr>
        <w:spacing w:before="0" w:after="240" w:line="276" w:lineRule="auto"/>
        <w:jc w:val="both"/>
      </w:pPr>
      <w:r>
        <w:rPr>
          <w:rFonts w:ascii="Times New Roman" w:hAnsi="Times New Roman"/>
          <w:b w:val="0"/>
          <w:i w:val="0"/>
          <w:sz w:val="22"/>
        </w:rPr>
        <w:t>To reconcile this gap, we develop a Two-Tier Neuro-Symbolic architecture. The neural tier acts as a high-throughput candidate screener, filtering out over 89% of benign templates, while a localized symbolic oracle provides deterministic reachability proofs for flagged candidates. We show that false-positive suppression on hard negatives is achieved by design through this division of labor. Finally, we model identity privilege revocation as a Stackelberg security game and establish that optimal edge interdiction is NP-hard via reduction from Directed Multiway Cut, introducing a polynomial-time greedy heuristic that severs 92% of reachable attack paths under bounded operational budgets.</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Multiterminal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w:t>
      </w:r>
      <w:r>
        <w:t xml:space="preserve">(Goel et al. 2025; Guo et al. 2023)</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X6fa927a5f3749a85997b0a4f3f59e340fdd0a0d"/>
    <w:p>
      <w:pPr>
        <w:pStyle w:val="Heading3"/>
      </w:pPr>
      <w:r>
        <w:t xml:space="preserve">Game Theory and Machine Learning Pitfalls in Cybersecurity</w:t>
      </w:r>
    </w:p>
    <w:p>
      <w:pPr>
        <w:pStyle w:val="FirstParagraph"/>
        <w:keepNext/>
        <w:spacing w:before="160" w:after="80"/>
        <w:jc w:val="center"/>
      </w:pPr>
      <w:r>
        <w:t xml:space="preserve">Applying machine learning and game theory to enterprise cybersecurity introduces distinct structural and combinatorial constraints. In active defense, Stackelberg security games (Kiekintveld et al., 2009) </w:t>
      </w:r>
      <w:r>
        <w:t xml:space="preserve">(Kiekintveld et al. 2009)</w:t>
      </w:r>
      <w:r>
        <w:t xml:space="preserve"> </w:t>
      </w:r>
      <w:r>
        <w:t xml:space="preserve">provide a principled foundation for allocating defensive countermeasures against worst-case adversaries. On enterprise attack graphs, Guo et al. (2023) </w:t>
      </w:r>
      <w:r>
        <w:t xml:space="preserve">(Guo et al. 2023)</w:t>
      </w:r>
      <w:r>
        <w:t xml:space="preserve"> </w:t>
      </w:r>
      <w:r>
        <w:t xml:space="preserve">investigated scalable edge-blocking algorithms by exploiting graph treewidth and parameterizing non-splitting paths to minimize attacker reachability to Domain Admin under operational budget constraints. Expanding upon this game-theoretic interdiction formulation, Goel et al. (2025) </w:t>
      </w:r>
      <w:r>
        <w:t xml:space="preserve">(Goel et al. 2025)</w:t>
      </w:r>
      <w:r>
        <w:t xml:space="preserve"> </w:t>
      </w:r>
      <w:r>
        <w:t xml:space="preserve">introduced a co-evolutionary defense framework pairing Graph Neural Network-approximated dynamic programming (GNNDP) with evolutionary diversity optimization over parameterized attack graphs, demonstrating that neural approximations can scale defensive search against adaptive multi-hop attackers.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6"/>
    <w:bookmarkEnd w:id="17"/>
    <w:bookmarkStart w:id="19"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0"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5"/>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5"/>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5"/>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5"/>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8"/>
    <w:bookmarkStart w:id="21"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6"/>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6"/>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6"/>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19"/>
    <w:bookmarkStart w:id="22"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7"/>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7"/>
        </w:numPr>
      </w:pPr>
      <w:r>
        <w:t xml:space="preserve">Verifies that the certificate contains an authorized Extended Key Usage (EKU) permitting client authentication.</w:t>
      </w:r>
    </w:p>
    <w:p>
      <w:pPr>
        <w:numPr>
          <w:ilvl w:val="0"/>
          <w:numId w:val="27"/>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7"/>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0"/>
    <w:bookmarkStart w:id="23"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8"/>
        </w:numPr>
      </w:pPr>
      <w:r>
        <w:rPr>
          <w:rStyle w:val="VerbatimChar"/>
        </w:rPr>
        <w:t xml:space="preserve">GenericAll</w:t>
      </w:r>
      <w:r>
        <w:t xml:space="preserve">: Full unrestricted control over the target object (enabling password resets, attribute modification, and object deletion).</w:t>
      </w:r>
    </w:p>
    <w:p>
      <w:pPr>
        <w:numPr>
          <w:ilvl w:val="0"/>
          <w:numId w:val="28"/>
        </w:numPr>
      </w:pPr>
      <w:r>
        <w:rPr>
          <w:rStyle w:val="VerbatimChar"/>
        </w:rPr>
        <w:t xml:space="preserve">GenericWrite</w:t>
      </w:r>
      <w:r>
        <w:t xml:space="preserve">: Permission to modify any non-confidential attribute of the object.</w:t>
      </w:r>
    </w:p>
    <w:p>
      <w:pPr>
        <w:numPr>
          <w:ilvl w:val="0"/>
          <w:numId w:val="28"/>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8"/>
        </w:numPr>
      </w:pPr>
      <w:r>
        <w:rPr>
          <w:rStyle w:val="VerbatimChar"/>
        </w:rPr>
        <w:t xml:space="preserve">WriteOwner</w:t>
      </w:r>
      <w:r>
        <w:t xml:space="preserve">: Permission to assume ownership of the object and subsequently rewrite its security descriptor.</w:t>
      </w:r>
    </w:p>
    <w:p>
      <w:pPr>
        <w:numPr>
          <w:ilvl w:val="0"/>
          <w:numId w:val="28"/>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1"/>
    <w:bookmarkEnd w:id="22"/>
    <w:bookmarkStart w:id="24"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5" w:name="fig:adcs_schema"/>
    <w:p xmlns:a="http://schemas.openxmlformats.org/drawingml/2006/main" xmlns:pic="http://schemas.openxmlformats.org/drawingml/2006/picture">
      <w:pPr>
        <w:pStyle w:val="CaptionedFigure"/>
        <w:keepNext/>
        <w:spacing w:before="160" w:after="80"/>
        <w:jc w:val="center"/>
      </w:pPr>
      <w:r>
        <w:drawing>
          <wp:inline>
            <wp:extent cx="5203190" cy="2776974"/>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5203190" cy="2776974"/>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3"/>
    <w:p>
      <w:pPr>
        <w:numPr>
          <w:ilvl w:val="0"/>
          <w:numId w:val="29"/>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29"/>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29"/>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0"/>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0"/>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0"/>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0"/>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29"/>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4"/>
    <w:bookmarkStart w:id="26"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7" w:name="fig:esc13_path"/>
    <w:p xmlns:a="http://schemas.openxmlformats.org/drawingml/2006/main" xmlns:pic="http://schemas.openxmlformats.org/drawingml/2006/picture">
      <w:pPr>
        <w:pStyle w:val="CaptionedFigure"/>
        <w:keepNext/>
        <w:spacing w:before="160" w:after="80"/>
        <w:jc w:val="center"/>
      </w:pPr>
      <w:r>
        <w:drawing>
          <wp:inline>
            <wp:extent cx="3672840" cy="1701472"/>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3672840" cy="1701472"/>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5"/>
    <w:bookmarkEnd w:id="26"/>
    <w:bookmarkStart w:id="28"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29" w:name="attacker-model"/>
    <w:p>
      <w:pPr>
        <w:pStyle w:val="Heading3"/>
      </w:pPr>
      <w:r>
        <w:t xml:space="preserve">Attacker Model</w:t>
      </w:r>
    </w:p>
    <w:p>
      <w:pPr>
        <w:numPr>
          <w:ilvl w:val="0"/>
          <w:numId w:val="31"/>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1"/>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1"/>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7"/>
    <w:bookmarkStart w:id="30" w:name="defender-model"/>
    <w:p>
      <w:pPr>
        <w:pStyle w:val="Heading3"/>
      </w:pPr>
      <w:r>
        <w:t xml:space="preserve">Defender Model</w:t>
      </w:r>
    </w:p>
    <w:p>
      <w:pPr>
        <w:numPr>
          <w:ilvl w:val="0"/>
          <w:numId w:val="32"/>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2"/>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2"/>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avoiding cumbersome full-OS virtual machine simulations for static auditing.</w:t>
      </w:r>
    </w:p>
    <w:bookmarkEnd w:id="28"/>
    <w:bookmarkEnd w:id="29"/>
    <w:bookmarkEnd w:id="30"/>
    <w:bookmarkStart w:id="31" w:name="ch:methodology"/>
    <w:p>
      <w:pPr>
        <w:pStyle w:val="Heading1"/>
        <w:pageBreakBefore/>
        <w:spacing w:before="360" w:after="240"/>
      </w:pPr>
      <w:r>
        <w:t xml:space="preserve">Formal Methodology and CertGraph Architecture</w:t>
      </w:r>
    </w:p>
    <w:bookmarkStart w:id="32"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3"/>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3"/>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3"/>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3"/>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3"/>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3"/>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1"/>
    <w:bookmarkStart w:id="33"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4"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4"/>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4"/>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4"/>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4"/>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4"/>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4"/>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4"/>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4"/>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4"/>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4"/>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2"/>
    <w:bookmarkStart w:id="35"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5"/>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5"/>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5"/>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5"/>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3"/>
    <w:bookmarkStart w:id="36"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4"/>
    <w:bookmarkEnd w:id="35"/>
    <w:bookmarkStart w:id="37"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38" w:name="fig:certgraph_arch"/>
    <w:p xmlns:a="http://schemas.openxmlformats.org/drawingml/2006/main" xmlns:pic="http://schemas.openxmlformats.org/drawingml/2006/picture">
      <w:pPr>
        <w:pStyle w:val="CaptionedFigure"/>
        <w:keepNext/>
        <w:spacing w:before="160" w:after="80"/>
        <w:jc w:val="center"/>
      </w:pPr>
      <w:r>
        <w:drawing>
          <wp:inline>
            <wp:extent cx="5998972" cy="2981886"/>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5998972" cy="2981886"/>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6"/>
    <w:bookmarkStart w:id="39"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7"/>
    <w:bookmarkStart w:id="40"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38"/>
    <w:bookmarkStart w:id="41"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2"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39"/>
    <w:bookmarkEnd w:id="40"/>
    <w:bookmarkStart w:id="43"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is mathematically sufficient to resolve all standard ADCS escalation paths:</w:t>
      </w:r>
    </w:p>
    <w:p>
      <w:pPr>
        <w:numPr>
          <w:ilvl w:val="0"/>
          <w:numId w:val="36"/>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6"/>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6"/>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p>
      <w:pPr>
        <w:pStyle w:val="FirstParagraph"/>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1"/>
    <w:bookmarkStart w:id="44"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2"/>
    <w:bookmarkEnd w:id="43"/>
    <w:bookmarkStart w:id="45"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6"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4"/>
    <w:bookmarkStart w:id="47"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5"/>
    <w:bookmarkEnd w:id="46"/>
    <w:bookmarkStart w:id="48"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49" w:name="thm:representation_preservation"/>
      <w:bookmarkEnd w:id="47"/>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7"/>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7"/>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48"/>
    <w:bookmarkStart w:id="50"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38"/>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38"/>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38"/>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38"/>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49"/>
    <w:bookmarkEnd w:id="50"/>
    <w:bookmarkStart w:id="51" w:name="ch:audit"/>
    <w:p>
      <w:pPr>
        <w:pStyle w:val="Heading1"/>
        <w:pageBreakBefore/>
        <w:spacing w:before="360" w:after="240"/>
      </w:pPr>
      <w:r>
        <w:t xml:space="preserve">Forensic Audit: Unmasking Experimental Illusions in Security Machine Learning</w:t>
      </w:r>
    </w:p>
    <w:bookmarkStart w:id="52"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39"/>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39"/>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1"/>
    <w:bookmarkStart w:id="53" w:name="the-four-experimental-illusions"/>
    <w:p>
      <w:pPr>
        <w:pStyle w:val="Heading2"/>
        <w:spacing w:before="280" w:after="120"/>
      </w:pPr>
      <w:r>
        <w:t xml:space="preserve">The Four Experimental Illusions</w:t>
      </w:r>
    </w:p>
    <w:bookmarkStart w:id="54"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0"/>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0"/>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0"/>
        </w:numPr>
      </w:pPr>
      <w:r>
        <w:t xml:space="preserve">In ESC13 synthetic generation routines, the issuance policy OID was programmatically linked exclusively to group index</w:t>
      </w:r>
      <w:r>
        <w:t xml:space="preserve"> </w:t>
      </w:r>
      <m:oMath>
        <m:r>
          <m:t>0</m:t>
        </m:r>
      </m:oMath>
      <w:r>
        <w:t xml:space="preserve">.</w:t>
      </w:r>
    </w:p>
    <w:bookmarkStart w:id="55"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2"/>
    <w:bookmarkStart w:id="56"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3"/>
    <w:bookmarkEnd w:id="54"/>
    <w:bookmarkStart w:id="57"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1"/>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1"/>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5"/>
    <w:bookmarkStart w:id="58"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2"/>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2"/>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2"/>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2"/>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59" w:name="fig:feature_heatmap"/>
    <w:p xmlns:a="http://schemas.openxmlformats.org/drawingml/2006/main" xmlns:pic="http://schemas.openxmlformats.org/drawingml/2006/picture">
      <w:pPr>
        <w:pStyle w:val="CaptionedFigure"/>
        <w:keepNext/>
        <w:spacing w:before="160" w:after="80"/>
        <w:jc w:val="center"/>
      </w:pPr>
      <w:r>
        <w:drawing>
          <wp:inline>
            <wp:extent cx="4591050" cy="2494713"/>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4591050" cy="2494713"/>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6"/>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57"/>
    <w:bookmarkStart w:id="60"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58"/>
    <w:bookmarkEnd w:id="59"/>
    <w:bookmarkStart w:id="61"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3"/>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3"/>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3"/>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3"/>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3"/>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0"/>
    <w:bookmarkStart w:id="62"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1"/>
    <w:bookmarkStart w:id="63" w:name="X4a616f273a2978644eccee3b5f35228912f24d0"/>
    <w:p>
      <w:pPr>
        <w:pStyle w:val="Heading2"/>
        <w:spacing w:before="280" w:after="120"/>
      </w:pPr>
      <w:r>
        <w:t xml:space="preserve">Methodological Guidelines for Security Graph Learning</w:t>
      </w:r>
    </w:p>
    <w:p>
      <w:pPr>
        <w:pStyle w:val="FirstParagraph"/>
      </w:pPr>
      <w:r>
        <w:t xml:space="preserve">Grounding our findings in the security machine learning principles of Arp et al. </w:t>
      </w:r>
      <w:r>
        <w:t xml:space="preserve">(Arp et al. 2022)</w:t>
      </w:r>
      <w:r>
        <w:t xml:space="preserve">, we formulate five methodological guidelines for researchers applying Graph Neural Networks to cybersecurity:</w:t>
      </w:r>
    </w:p>
    <w:p>
      <w:pPr>
        <w:numPr>
          <w:ilvl w:val="0"/>
          <w:numId w:val="44"/>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4"/>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4"/>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4"/>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4"/>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2"/>
    <w:bookmarkEnd w:id="63"/>
    <w:bookmarkStart w:id="64" w:name="ch:evaluation"/>
    <w:p>
      <w:pPr>
        <w:pStyle w:val="Heading1"/>
        <w:pageBreakBefore/>
        <w:spacing w:before="360" w:after="240"/>
      </w:pPr>
      <w:r>
        <w:t xml:space="preserve">Empirical Evaluation and Benchmarks</w:t>
      </w:r>
    </w:p>
    <w:bookmarkStart w:id="65"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6"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5"/>
        </w:numPr>
      </w:pPr>
      <w:r>
        <w:rPr>
          <w:rStyle w:val="VerbatimChar"/>
        </w:rPr>
        <w:t xml:space="preserve">Safe</w:t>
      </w:r>
      <w:r>
        <w:t xml:space="preserve">: Completely secure certificate templates or published templates lacking unprivileged attack paths.</w:t>
      </w:r>
    </w:p>
    <w:p>
      <w:pPr>
        <w:numPr>
          <w:ilvl w:val="0"/>
          <w:numId w:val="45"/>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5"/>
        </w:numPr>
      </w:pPr>
      <w:r>
        <w:rPr>
          <w:rStyle w:val="VerbatimChar"/>
        </w:rPr>
        <w:t xml:space="preserve">ESC2</w:t>
      </w:r>
      <w:r>
        <w:t xml:space="preserve">: Templates configured with Any Purpose EKU or lacking EKUs, enrollable by unprivileged accounts.</w:t>
      </w:r>
    </w:p>
    <w:p>
      <w:pPr>
        <w:numPr>
          <w:ilvl w:val="0"/>
          <w:numId w:val="45"/>
        </w:numPr>
      </w:pPr>
      <w:r>
        <w:rPr>
          <w:rStyle w:val="VerbatimChar"/>
        </w:rPr>
        <w:t xml:space="preserve">ESC3</w:t>
      </w:r>
      <w:r>
        <w:t xml:space="preserve">: Templates specifying Certificate Request Agent EKU, enrollable by unprivileged principals.</w:t>
      </w:r>
    </w:p>
    <w:p>
      <w:pPr>
        <w:numPr>
          <w:ilvl w:val="0"/>
          <w:numId w:val="45"/>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5"/>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5"/>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4"/>
    <w:bookmarkStart w:id="67"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5"/>
    <w:bookmarkEnd w:id="66"/>
    <w:bookmarkStart w:id="68"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212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 (NB)</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0.7396 (Not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0.1913 (Not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7.28 × 10^-3 (p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1.30 × 10^-4 (p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6.66 × 10^-6 (p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3.12 × 10^-4 (p &lt; 10^-3)</w:t>
            </w:r>
          </w:p>
        </w:tc>
      </w:tr>
    </w:tbl>
    <w:bookmarkStart w:id="69" w:name="fig:gnn_family"/>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0" w:name="fig:conf_matrix"/>
          <w:p>
            <w:pPr>
              <w:pStyle w:val="CaptionedFigure"/>
              <w:jc w:val="center"/>
            </w:pPr>
            <w:r>
              <w:drawing>
                <wp:inline>
                  <wp:extent cx="3060700" cy="2550583"/>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550583"/>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67"/>
        </w:tc>
        <w:tc>
          <w:tcPr/>
          <w:bookmarkStart w:id="71" w:name="fig:gnn_family"/>
          <w:p>
            <w:pPr>
              <w:pStyle w:val="CaptionedFigure"/>
              <w:jc w:val="center"/>
            </w:pPr>
            <w:r>
              <w:drawing>
                <wp:inline>
                  <wp:extent cx="3060700" cy="1912937"/>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912937"/>
                          </a:xfrm>
                          <a:prstGeom prst="rect">
                            <a:avLst/>
                          </a:prstGeom>
                          <a:noFill/>
                          <a:ln w="9525">
                            <a:noFill/>
                            <a:headEnd/>
                            <a:tailEnd/>
                          </a:ln>
                        </pic:spPr>
                      </pic:pic>
                    </a:graphicData>
                  </a:graphic>
                </wp:inline>
              </w:drawing>
            </w:r>
          </w:p>
          <w:p>
            <w:pPr>
              <w:pStyle w:val="ImageCaption"/>
              <w:jc w:val="center"/>
            </w:pPr>
            <w:r>
              <w:t xml:space="preserve">GNN Family Comparison.</w:t>
            </w:r>
          </w:p>
          <w:bookmarkEnd w:id="68"/>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69"/>
    <w:bookmarkStart w:id="72"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3" w:name="X61fbe9256e8bfec86262d3c0f709b591e60fd9f"/>
    <w:p>
      <w:pPr>
        <w:pStyle w:val="Heading5"/>
      </w:pPr>
      <w:r>
        <w:t xml:space="preserve">Critical Analysis of In-Distribution Findings:</w:t>
      </w:r>
    </w:p>
    <w:p>
      <w:pPr>
        <w:numPr>
          <w:ilvl w:val="0"/>
          <w:numId w:val="46"/>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6"/>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6"/>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bookmarkEnd w:id="70"/>
    <w:bookmarkEnd w:id="71"/>
    <w:bookmarkEnd w:id="72"/>
    <w:bookmarkStart w:id="74"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7: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2171"/>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 (NB)</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c>
          <w:tcPr>
            <w:tcW w:type="dxa" w:w="2171"/>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2171"/>
            <w:tcMar>
              <w:top w:w="50" w:type="dxa"/>
              <w:bottom w:w="50" w:type="dxa"/>
              <w:left w:w="80" w:type="dxa"/>
              <w:right w:w="80" w:type="dxa"/>
            </w:tcMar>
          </w:tcPr>
          <w:p>
            <w:pPr>
              <w:spacing w:before="60" w:after="60" w:line="252" w:lineRule="auto"/>
              <w:jc w:val="center"/>
            </w:pPr>
            <w:r>
              <w:rPr>
                <w:rFonts w:ascii="Times New Roman" w:hAnsi="Times New Roman"/>
                <w:sz w:val="18"/>
              </w:rPr>
              <w:t>0.5415 (Not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2171"/>
            <w:tcMar>
              <w:top w:w="50" w:type="dxa"/>
              <w:bottom w:w="50" w:type="dxa"/>
              <w:left w:w="80" w:type="dxa"/>
              <w:right w:w="80" w:type="dxa"/>
            </w:tcMar>
          </w:tcPr>
          <w:p>
            <w:pPr>
              <w:spacing w:before="60" w:after="60" w:line="252" w:lineRule="auto"/>
              <w:jc w:val="left"/>
            </w:pPr>
            <w:r>
              <w:rPr>
                <w:rFonts w:ascii="Times New Roman" w:hAnsi="Times New Roman"/>
                <w:sz w:val="18"/>
              </w:rPr>
              <w:t>1.30 × 10^-4 (p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2171"/>
            <w:tcMar>
              <w:top w:w="50" w:type="dxa"/>
              <w:bottom w:w="50" w:type="dxa"/>
              <w:left w:w="80" w:type="dxa"/>
              <w:right w:w="80" w:type="dxa"/>
            </w:tcMar>
          </w:tcPr>
          <w:p>
            <w:pPr>
              <w:spacing w:before="60" w:after="60" w:line="252" w:lineRule="auto"/>
              <w:jc w:val="left"/>
            </w:pPr>
            <w:r>
              <w:rPr>
                <w:rFonts w:ascii="Times New Roman" w:hAnsi="Times New Roman"/>
                <w:sz w:val="18"/>
              </w:rPr>
              <w:t>6.61 × 10^-6 (p &lt; 10^-5)</w:t>
            </w:r>
          </w:p>
        </w:tc>
      </w:tr>
    </w:tbl>
    <w:bookmarkStart w:id="75" w:name="fig:ablation_fig"/>
    <w:p xmlns:a="http://schemas.openxmlformats.org/drawingml/2006/main" xmlns:pic="http://schemas.openxmlformats.org/drawingml/2006/picture">
      <w:pPr>
        <w:pStyle w:val="CaptionedFigure"/>
        <w:keepNext/>
        <w:spacing w:before="160" w:after="80"/>
        <w:jc w:val="center"/>
      </w:pPr>
      <w:r>
        <w:drawing>
          <wp:inline>
            <wp:extent cx="4591050" cy="278927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4591050" cy="278927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3"/>
    <w:bookmarkStart w:id="76"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4"/>
    <w:bookmarkEnd w:id="75"/>
    <w:bookmarkStart w:id="77"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47"/>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47"/>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8: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78" w:name="fig:hn_fig"/>
    <w:p xmlns:a="http://schemas.openxmlformats.org/drawingml/2006/main" xmlns:pic="http://schemas.openxmlformats.org/drawingml/2006/picture">
      <w:pPr>
        <w:pStyle w:val="CaptionedFigure"/>
        <w:keepNext/>
        <w:spacing w:before="160" w:after="80"/>
        <w:jc w:val="center"/>
      </w:pPr>
      <w:r>
        <w:drawing>
          <wp:inline>
            <wp:extent cx="4591050" cy="2496315"/>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4591050" cy="2496315"/>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76"/>
    <w:bookmarkStart w:id="79"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48"/>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48"/>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48"/>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(Arp et al., 2022 </w:t>
      </w:r>
      <w:r>
        <w:t xml:space="preserve">(Arp et al. 2022)</w:t>
      </w:r>
      <w:r>
        <w:t xml:space="preserve">; Geirhos et al., 2020 </w:t>
      </w:r>
      <w:r>
        <w:t xml:space="preserve">(Geirhos et al. 2020)</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48"/>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 **Two-Tier Neuro-Symbolic Hybrid Architecture**, where fast neural screening is verified by targeted symbolic path deduction.</w:t>
      </w:r>
    </w:p>
    <w:bookmarkEnd w:id="77"/>
    <w:bookmarkEnd w:id="78"/>
    <w:bookmarkStart w:id="80" w:name="Xab1081d302ad83a5ac4cf35b9f8fcdf1856f512"/>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1" w:name="fig:attention_exp"/>
    <w:p xmlns:a="http://schemas.openxmlformats.org/drawingml/2006/main" xmlns:pic="http://schemas.openxmlformats.org/drawingml/2006/picture">
      <w:pPr>
        <w:pStyle w:val="CaptionedFigure"/>
        <w:keepNext/>
        <w:spacing w:before="160" w:after="80"/>
        <w:jc w:val="center"/>
      </w:pPr>
      <w:r>
        <w:drawing>
          <wp:inline>
            <wp:extent cx="4897120" cy="2321661"/>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4897120" cy="2321661"/>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79"/>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49"/>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49"/>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49"/>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0"/>
    <w:bookmarkEnd w:id="81"/>
    <w:bookmarkStart w:id="82" w:name="ch:case_study"/>
    <w:p>
      <w:pPr>
        <w:pStyle w:val="Heading1"/>
        <w:pageBreakBefore/>
        <w:spacing w:before="360" w:after="240"/>
      </w:pPr>
      <w:r>
        <w:t xml:space="preserve">Real-World Active Directory Case Studies: GOAD and Community Benchmarks</w:t>
      </w:r>
    </w:p>
    <w:bookmarkStart w:id="83"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0"/>
        </w:numPr>
      </w:pPr>
      <w:r>
        <w:t xml:space="preserve">Multi-forest trust topologies with complex Kerberos referral tickets and SID filtering boundaries.</w:t>
      </w:r>
    </w:p>
    <w:p>
      <w:pPr>
        <w:numPr>
          <w:ilvl w:val="0"/>
          <w:numId w:val="50"/>
        </w:numPr>
      </w:pPr>
      <w:r>
        <w:t xml:space="preserve">Highly nested security group hierarchies created over decades of administrative churn.</w:t>
      </w:r>
    </w:p>
    <w:p>
      <w:pPr>
        <w:numPr>
          <w:ilvl w:val="0"/>
          <w:numId w:val="50"/>
        </w:numPr>
      </w:pPr>
      <w:r>
        <w:t xml:space="preserve">Legacy access control entries (ACEs) inheriting permissions across deep Organizational Unit (OU) trees.</w:t>
      </w:r>
    </w:p>
    <w:p>
      <w:pPr>
        <w:numPr>
          <w:ilvl w:val="0"/>
          <w:numId w:val="50"/>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2"/>
    <w:bookmarkStart w:id="84"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1"/>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1"/>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1"/>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5" w:name="fig:goad_topology"/>
    <w:p xmlns:a="http://schemas.openxmlformats.org/drawingml/2006/main" xmlns:pic="http://schemas.openxmlformats.org/drawingml/2006/picture">
      <w:pPr>
        <w:pStyle w:val="CaptionedFigure"/>
        <w:keepNext/>
        <w:spacing w:before="160" w:after="80"/>
        <w:jc w:val="center"/>
      </w:pPr>
      <w:r>
        <w:drawing>
          <wp:inline>
            <wp:extent cx="5631688" cy="2873448"/>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5631688" cy="2873448"/>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3"/>
    <w:bookmarkEnd w:id="84"/>
    <w:bookmarkStart w:id="86"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87"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2"/>
        </w:numPr>
      </w:pPr>
      <w:r>
        <w:t xml:space="preserve">Security Principal metadata (Users, Computers, Groups, CAs, Templates).</w:t>
      </w:r>
    </w:p>
    <w:p>
      <w:pPr>
        <w:numPr>
          <w:ilvl w:val="0"/>
          <w:numId w:val="52"/>
        </w:numPr>
      </w:pPr>
      <w:r>
        <w:t xml:space="preserve">Group membership nesting hierarchies (</w:t>
      </w:r>
      <w:r>
        <w:rPr>
          <w:rStyle w:val="VerbatimChar"/>
        </w:rPr>
        <w:t xml:space="preserve">MemberOf</w:t>
      </w:r>
      <w:r>
        <w:t xml:space="preserve">).</w:t>
      </w:r>
    </w:p>
    <w:p>
      <w:pPr>
        <w:numPr>
          <w:ilvl w:val="0"/>
          <w:numId w:val="52"/>
        </w:numPr>
      </w:pPr>
      <w:r>
        <w:t xml:space="preserve">Active user logon sessions via NetSessionEnum and Remote Registry APIs.</w:t>
      </w:r>
    </w:p>
    <w:p>
      <w:pPr>
        <w:numPr>
          <w:ilvl w:val="0"/>
          <w:numId w:val="52"/>
        </w:numPr>
      </w:pPr>
      <w:r>
        <w:t xml:space="preserve">Full Discretionary Access Control Lists (DACLs) from directory security descriptors.</w:t>
      </w:r>
    </w:p>
    <w:p>
      <w:pPr>
        <w:numPr>
          <w:ilvl w:val="0"/>
          <w:numId w:val="52"/>
        </w:numPr>
      </w:pPr>
      <w:r>
        <w:t xml:space="preserve">Certificate template attributes and Enterprise CA enrollment publication lists.</w:t>
      </w:r>
    </w:p>
    <w:bookmarkEnd w:id="85"/>
    <w:bookmarkStart w:id="88"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3"/>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3"/>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3"/>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3"/>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86"/>
    <w:bookmarkEnd w:id="87"/>
    <w:bookmarkStart w:id="89"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9: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0" w:name="detailed-case-study-analysis"/>
    <w:p>
      <w:pPr>
        <w:pStyle w:val="Heading3"/>
      </w:pPr>
      <w:r>
        <w:t xml:space="preserve">Detailed Case Study Analysis</w:t>
      </w:r>
    </w:p>
    <w:bookmarkStart w:id="91"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4"/>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4"/>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88"/>
    <w:bookmarkStart w:id="92"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5"/>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5"/>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5"/>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3" w:name="fig:goad_paths"/>
    <w:p xmlns:a="http://schemas.openxmlformats.org/drawingml/2006/main" xmlns:pic="http://schemas.openxmlformats.org/drawingml/2006/picture">
      <w:pPr>
        <w:pStyle w:val="CaptionedFigure"/>
        <w:keepNext/>
        <w:spacing w:before="160" w:after="80"/>
        <w:jc w:val="center"/>
      </w:pPr>
      <w:r>
        <w:drawing>
          <wp:inline>
            <wp:extent cx="5815330" cy="3963592"/>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815330" cy="3963592"/>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89"/>
    <w:bookmarkEnd w:id="90"/>
    <w:bookmarkEnd w:id="91"/>
    <w:bookmarkEnd w:id="92"/>
    <w:bookmarkStart w:id="94"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56"/>
        </w:numPr>
      </w:pPr>
      <w:r>
        <w:rPr>
          <w:b/>
          <w:bCs/>
        </w:rPr>
        <w:t xml:space="preserve">Collection Baseline (T1):</w:t>
      </w:r>
      <w:r>
        <w:t xml:space="preserve"> </w:t>
      </w:r>
      <w:r>
        <w:t xml:space="preserve">June 15, 2026.</w:t>
      </w:r>
    </w:p>
    <w:p>
      <w:pPr>
        <w:numPr>
          <w:ilvl w:val="0"/>
          <w:numId w:val="56"/>
        </w:numPr>
      </w:pPr>
      <w:r>
        <w:rPr>
          <w:b/>
          <w:bCs/>
        </w:rPr>
        <w:t xml:space="preserve">Follow-up Snapshot (T2):</w:t>
      </w:r>
      <w:r>
        <w:t xml:space="preserve"> </w:t>
      </w:r>
      <w:r>
        <w:t xml:space="preserve">July 2, 2026 (17 days later, following intermediate red-team simulation exercises).</w:t>
      </w:r>
    </w:p>
    <w:p>
      <w:pPr>
        <w:numPr>
          <w:ilvl w:val="0"/>
          <w:numId w:val="56"/>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57"/>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5"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3"/>
    <w:bookmarkEnd w:id="94"/>
    <w:bookmarkStart w:id="96"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10: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5"/>
    <w:bookmarkEnd w:id="96"/>
    <w:bookmarkStart w:id="97" w:name="ch:robustness"/>
    <w:p>
      <w:pPr>
        <w:pStyle w:val="Heading1"/>
        <w:pageBreakBefore/>
        <w:spacing w:before="360" w:after="240"/>
      </w:pPr>
      <w:r>
        <w:t xml:space="preserve">Domain Generalization, Robustness, and Scalability</w:t>
      </w:r>
    </w:p>
    <w:bookmarkStart w:id="98"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58"/>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58"/>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58"/>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58"/>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97"/>
    <w:bookmarkStart w:id="99"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0"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59"/>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59"/>
        </w:numPr>
      </w:pPr>
      <w:r>
        <w:rPr>
          <w:b/>
          <w:bCs/>
        </w:rPr>
        <w:t xml:space="preserve">Tier 1 (Management Plane):</w:t>
      </w:r>
      <w:r>
        <w:t xml:space="preserve"> </w:t>
      </w:r>
      <w:r>
        <w:t xml:space="preserve">Enterprise servers, business-critical databases, line-of-business applications, and cloud proxy hosts.</w:t>
      </w:r>
    </w:p>
    <w:p>
      <w:pPr>
        <w:numPr>
          <w:ilvl w:val="0"/>
          <w:numId w:val="59"/>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1"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0"/>
        </w:numPr>
      </w:pPr>
      <w:r>
        <w:rPr>
          <w:b/>
          <w:bCs/>
        </w:rPr>
        <w:t xml:space="preserve">Enterprise CAs</w:t>
      </w:r>
      <w:r>
        <w:t xml:space="preserve"> </w:t>
      </w:r>
      <w:r>
        <w:t xml:space="preserve">were assigned strictly to Tier 0, linking to root Domain Controllers via RPC enrollment endpoints.</w:t>
      </w:r>
    </w:p>
    <w:p>
      <w:pPr>
        <w:numPr>
          <w:ilvl w:val="0"/>
          <w:numId w:val="60"/>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0"/>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2" w:name="fig:tool_comp"/>
    <w:p xmlns:a="http://schemas.openxmlformats.org/drawingml/2006/main" xmlns:pic="http://schemas.openxmlformats.org/drawingml/2006/picture">
      <w:pPr>
        <w:pStyle w:val="CaptionedFigure"/>
        <w:keepNext/>
        <w:spacing w:before="160" w:after="80"/>
        <w:jc w:val="center"/>
      </w:pPr>
      <w:r>
        <w:drawing>
          <wp:inline>
            <wp:extent cx="4591050" cy="2869406"/>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4591050" cy="2869406"/>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98"/>
    <w:bookmarkEnd w:id="99"/>
    <w:bookmarkEnd w:id="100"/>
    <w:bookmarkStart w:id="103"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11: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4"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1"/>
    <w:bookmarkEnd w:id="102"/>
    <w:bookmarkEnd w:id="103"/>
    <w:bookmarkStart w:id="105"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We subjected CertGraph to systematic perturbation stress tests evaluating edge deletions, configuration feature noise, and sample efficiency.</w:t>
      </w:r>
    </w:p>
    <w:bookmarkStart w:id="106" w:name="fig:robustness_fig"/>
    <w:p xmlns:a="http://schemas.openxmlformats.org/drawingml/2006/main" xmlns:pic="http://schemas.openxmlformats.org/drawingml/2006/picture">
      <w:pPr>
        <w:pStyle w:val="CaptionedFigure"/>
        <w:keepNext/>
        <w:spacing w:before="160" w:after="80"/>
        <w:jc w:val="center"/>
      </w:pPr>
      <w:r>
        <w:drawing>
          <wp:inline>
            <wp:extent cx="5203190" cy="1560957"/>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1560957"/>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4"/>
    <w:bookmarkStart w:id="107"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12: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1"/>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1"/>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1"/>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5"/>
    <w:bookmarkStart w:id="108"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2"/>
        </w:numPr>
      </w:pPr>
      <m:oMath>
        <m:r>
          <m:t>0</m:t>
        </m:r>
        <m:r>
          <m:rPr>
            <m:sty m:val="p"/>
          </m:rPr>
          <m:t>%</m:t>
        </m:r>
      </m:oMath>
      <w:r>
        <w:t xml:space="preserve"> </w:t>
      </w:r>
      <w:r>
        <w:t xml:space="preserve">noise: Macro-F1 =</w:t>
      </w:r>
      <w:r>
        <w:t xml:space="preserve"> </w:t>
      </w:r>
      <m:oMath>
        <m:r>
          <m:rPr>
            <m:sty m:val="b"/>
          </m:rPr>
          <m:t>1.0000</m:t>
        </m:r>
      </m:oMath>
    </w:p>
    <w:p>
      <w:pPr>
        <w:numPr>
          <w:ilvl w:val="0"/>
          <w:numId w:val="62"/>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2"/>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2"/>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2"/>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09"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3"/>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3"/>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3"/>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06"/>
    <w:bookmarkEnd w:id="107"/>
    <w:bookmarkStart w:id="110"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4"/>
        </w:numPr>
      </w:pPr>
      <w:r>
        <w:t xml:space="preserve">20 domains: Macro-F1 =</w:t>
      </w:r>
      <w:r>
        <w:t xml:space="preserve"> </w:t>
      </w:r>
      <m:oMath>
        <m:r>
          <m:rPr>
            <m:sty m:val="b"/>
          </m:rPr>
          <m:t>0.8415</m:t>
        </m:r>
      </m:oMath>
    </w:p>
    <w:p>
      <w:pPr>
        <w:numPr>
          <w:ilvl w:val="0"/>
          <w:numId w:val="64"/>
        </w:numPr>
      </w:pPr>
      <w:r>
        <w:t xml:space="preserve">40 domains: Macro-F1 =</w:t>
      </w:r>
      <w:r>
        <w:t xml:space="preserve"> </w:t>
      </w:r>
      <m:oMath>
        <m:r>
          <m:rPr>
            <m:sty m:val="b"/>
          </m:rPr>
          <m:t>0.9274</m:t>
        </m:r>
      </m:oMath>
    </w:p>
    <w:p>
      <w:pPr>
        <w:numPr>
          <w:ilvl w:val="0"/>
          <w:numId w:val="64"/>
        </w:numPr>
      </w:pPr>
      <w:r>
        <w:t xml:space="preserve">80 domains: Macro-F1 =</w:t>
      </w:r>
      <w:r>
        <w:t xml:space="preserve"> </w:t>
      </w:r>
      <m:oMath>
        <m:r>
          <m:rPr>
            <m:sty m:val="b"/>
          </m:rPr>
          <m:t>0.9847</m:t>
        </m:r>
      </m:oMath>
    </w:p>
    <w:p>
      <w:pPr>
        <w:numPr>
          <w:ilvl w:val="0"/>
          <w:numId w:val="64"/>
        </w:numPr>
      </w:pPr>
      <w:r>
        <w:t xml:space="preserve">160 domains: Macro-F1 =</w:t>
      </w:r>
      <w:r>
        <w:t xml:space="preserve"> </w:t>
      </w:r>
      <m:oMath>
        <m:r>
          <m:rPr>
            <m:sty m:val="b"/>
          </m:rPr>
          <m:t>0.9899</m:t>
        </m:r>
      </m:oMath>
    </w:p>
    <w:p>
      <w:pPr>
        <w:numPr>
          <w:ilvl w:val="0"/>
          <w:numId w:val="64"/>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08"/>
    <w:bookmarkEnd w:id="109"/>
    <w:bookmarkStart w:id="111"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2" w:name="fig:scalability_fig"/>
    <w:p xmlns:a="http://schemas.openxmlformats.org/drawingml/2006/main" xmlns:pic="http://schemas.openxmlformats.org/drawingml/2006/picture">
      <w:pPr>
        <w:pStyle w:val="CaptionedFigure"/>
        <w:keepNext/>
        <w:spacing w:before="160" w:after="80"/>
        <w:jc w:val="center"/>
      </w:pPr>
      <w:r>
        <w:drawing>
          <wp:inline>
            <wp:extent cx="5203190" cy="162010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162010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0"/>
    <w:p>
      <w:pPr>
        <w:keepNext/>
        <w:spacing w:before="280" w:after="120"/>
        <w:jc w:val="center"/>
      </w:pPr>
      <w:r>
        <w:rPr>
          <w:rFonts w:ascii="Times New Roman" w:hAnsi="Times New Roman"/>
          <w:b/>
          <w:sz w:val="20"/>
        </w:rPr>
        <w:t xml:space="preserve">Table 13: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3" w:name="X2184051f4becef771fc66ff3701e2b7334b72ac"/>
    <w:p>
      <w:pPr>
        <w:pStyle w:val="Heading3"/>
      </w:pPr>
      <w:r>
        <w:t xml:space="preserve">Scalability Insights and Empirical Runtime Profiling</w:t>
      </w:r>
    </w:p>
    <w:bookmarkStart w:id="114"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1"/>
    <w:bookmarkStart w:id="115"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2"/>
    <w:bookmarkEnd w:id="113"/>
    <w:bookmarkStart w:id="116"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5"/>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5"/>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4"/>
    <w:bookmarkEnd w:id="115"/>
    <w:bookmarkEnd w:id="116"/>
    <w:bookmarkStart w:id="117" w:name="ch:neuro_symbolic"/>
    <w:p>
      <w:pPr>
        <w:pStyle w:val="Heading1"/>
        <w:pageBreakBefore/>
        <w:spacing w:before="360" w:after="240"/>
      </w:pPr>
      <w:r>
        <w:t xml:space="preserve">The Neuro-Symbolic Paradigm: Bridging Statistical GNNs and Symbolic Oracles</w:t>
      </w:r>
    </w:p>
    <w:bookmarkStart w:id="118"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66"/>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66"/>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19"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(Geirhos et al. 2020)</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17"/>
    <w:bookmarkEnd w:id="118"/>
    <w:bookmarkStart w:id="120"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14: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67"/>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67"/>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19"/>
    <w:bookmarkStart w:id="121"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0"/>
    <w:bookmarkStart w:id="122"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3" w:name="fig:neuro_pipeline"/>
    <w:p xmlns:a="http://schemas.openxmlformats.org/drawingml/2006/main" xmlns:pic="http://schemas.openxmlformats.org/drawingml/2006/picture">
      <w:pPr>
        <w:pStyle w:val="CaptionedFigure"/>
        <w:keepNext/>
        <w:spacing w:before="160" w:after="80"/>
        <w:jc w:val="center"/>
      </w:pPr>
      <w:r>
        <w:drawing>
          <wp:inline>
            <wp:extent cx="5631688" cy="2799321"/>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5631688" cy="2799321"/>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1"/>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4"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2"/>
    <w:bookmarkStart w:id="125"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68"/>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68"/>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26"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3"/>
    <w:bookmarkEnd w:id="124"/>
    <w:bookmarkStart w:id="127"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15: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69"/>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69"/>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69"/>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5"/>
    <w:bookmarkEnd w:id="126"/>
    <w:bookmarkStart w:id="128"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27"/>
    <w:bookmarkStart w:id="129"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28"/>
    <w:bookmarkStart w:id="130"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0"/>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0"/>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0"/>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0"/>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29"/>
    <w:bookmarkEnd w:id="130"/>
    <w:bookmarkStart w:id="131" w:name="ch:game_theory"/>
    <w:p>
      <w:pPr>
        <w:pStyle w:val="Heading1"/>
        <w:pageBreakBefore/>
        <w:spacing w:before="360" w:after="240"/>
      </w:pPr>
      <w:r>
        <w:t xml:space="preserve">Game-Theoretic Autonomous Defense and NP-Hardness of Edge-Severing</w:t>
      </w:r>
    </w:p>
    <w:bookmarkStart w:id="132"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1"/>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1"/>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1"/>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1"/>
    <w:bookmarkStart w:id="133"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4"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2"/>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2"/>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2"/>
    <w:bookmarkStart w:id="135"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3"/>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3"/>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3"/>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ensuring strict concavity of the defender’s mixed utility.</w:t>
      </w:r>
    </w:p>
    <w:p>
      <w:pPr>
        <w:numPr>
          <w:ilvl w:val="0"/>
          <w:numId w:val="73"/>
        </w:numPr>
      </w:pPr>
      <m:oMath>
        <m:r>
          <m:t>β</m:t>
        </m:r>
        <m:r>
          <m:rPr>
            <m:sty m:val="p"/>
          </m:rPr>
          <m:t>≫</m:t>
        </m:r>
        <m:r>
          <m:t>1</m:t>
        </m:r>
      </m:oMath>
      <w:r>
        <w:t xml:space="preserve"> </w:t>
      </w:r>
      <w:r>
        <w:t xml:space="preserve">is an operational penalty applied for each forbidden compromise pair that remains reachable.</w:t>
      </w:r>
    </w:p>
    <w:p>
      <w:pPr>
        <w:numPr>
          <w:ilvl w:val="0"/>
          <w:numId w:val="73"/>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w:t>
      </w:r>
      <w:r>
        <w:t xml:space="preserve">(Kiekintveld et al. 2009; Guo et al. 2023)</w:t>
      </w:r>
      <w:r>
        <w:t xml:space="preserve">.</w:t>
      </w:r>
    </w:p>
    <w:bookmarkEnd w:id="133"/>
    <w:bookmarkEnd w:id="134"/>
    <w:bookmarkStart w:id="136"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37" w:name="thm:nphardness"/>
      <w:bookmarkEnd w:id="135"/>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36"/>
    <w:bookmarkStart w:id="138"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39"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the algorithm achieves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approximation ratio relative to the optimal cut </w:t>
      </w:r>
      <w:r>
        <w:t xml:space="preserve">(Garg et al. 1994; Guo et al. 2023)</w:t>
      </w:r>
      <w:r>
        <w:t xml:space="preserve">, executing in polynomial time</w:t>
      </w:r>
      <w:r>
        <w:t xml:space="preserve">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w:t>
      </w:r>
    </w:p>
    <w:bookmarkEnd w:id="137"/>
    <w:bookmarkEnd w:id="138"/>
    <w:bookmarkStart w:id="140"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1"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39"/>
    <w:bookmarkStart w:id="142" w:name="Xb08b48c8e200d00e29f3ecb1724ce853c35db7b"/>
    <w:p>
      <w:pPr>
        <w:pStyle w:val="Heading3"/>
      </w:pPr>
      <w:r>
        <w:t xml:space="preserve">Continuous Limit and Stackelberg Equilibrium Convergence</w:t>
      </w:r>
    </w:p>
    <w:p>
      <w:pPr>
        <w:pStyle w:val="FirstParagraph"/>
      </w:pPr>
      <w:r>
        <w:t xml:space="preserve">Under the two-timescale schedule,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0"/>
    <w:bookmarkEnd w:id="141"/>
    <w:bookmarkStart w:id="143" w:name="Xab84b7d9151443e55d95213ea3eeeeebf158c78"/>
    <w:p>
      <w:pPr>
        <w:pStyle w:val="Heading2"/>
        <w:spacing w:before="280" w:after="120"/>
      </w:pPr>
      <w:r>
        <w:t xml:space="preserve">Simulation Experiments and Remediation Trade-offs</w:t>
      </w:r>
    </w:p>
    <w:p>
      <w:pPr>
        <w:pStyle w:val="FirstParagraph"/>
      </w:pPr>
      <w:r>
        <w:t xml:space="preserve">We evaluated the autonomous defense framework across 100 simulated enterprise topologies populated by intelligent simulated adversaries operating under varying stealth constraints.</w:t>
      </w:r>
    </w:p>
    <w:bookmarkStart w:id="144" w:name="fig:game_sim"/>
    <w:p xmlns:a="http://schemas.openxmlformats.org/drawingml/2006/main" xmlns:pic="http://schemas.openxmlformats.org/drawingml/2006/picture">
      <w:pPr>
        <w:pStyle w:val="CaptionedFigure"/>
        <w:keepNext/>
        <w:spacing w:before="160" w:after="80"/>
        <w:jc w:val="center"/>
      </w:pPr>
      <w:r>
        <w:drawing>
          <wp:inline>
            <wp:extent cx="4591050" cy="2789279"/>
            <wp:effectExtent b="0" l="0" r="0" t="0"/>
            <wp:docPr descr="" title="" id="17" name="Picture"/>
            <a:graphic>
              <a:graphicData uri="http://schemas.openxmlformats.org/drawingml/2006/picture">
                <pic:pic>
                  <pic:nvPicPr>
                    <pic:cNvPr descr="figures/ablation_comparison.png" id="17" name="Picture"/>
                    <pic:cNvPicPr>
                      <a:picLocks noChangeArrowheads="1" noChangeAspect="1"/>
                    </pic:cNvPicPr>
                  </pic:nvPicPr>
                  <pic:blipFill>
                    <a:blip r:embed="rId16"/>
                    <a:stretch>
                      <a:fillRect/>
                    </a:stretch>
                  </pic:blipFill>
                  <pic:spPr bwMode="auto">
                    <a:xfrm>
                      <a:off x="0" y="0"/>
                      <a:ext cx="4591050" cy="2789279"/>
                    </a:xfrm>
                    <a:prstGeom prst="rect">
                      <a:avLst/>
                    </a:prstGeom>
                    <a:noFill/>
                    <a:ln w="9525">
                      <a:noFill/>
                      <a:headEnd/>
                      <a:tailEnd/>
                    </a:ln>
                  </pic:spPr>
                </pic:pic>
              </a:graphicData>
            </a:graphic>
          </wp:inline>
        </w:drawing>
      </w:r>
    </w:p>
    <w:p>
      <w:pPr>
        <w:pStyle w:val="ImageCaption"/>
      </w:pPr>
      <w:r>
        <w:t xml:space="preserve">Defensive convergence and attack surface reduction under varying operational budget constraints.</w:t>
      </w:r>
    </w:p>
    <w:bookmarkEnd w:id="142"/>
    <w:p>
      <w:pPr>
        <w:pStyle w:val="BodyText"/>
      </w:pPr>
      <w:r>
        <w:t xml:space="preserve">The simulation results confirm three operational findings:</w:t>
      </w:r>
    </w:p>
    <w:p>
      <w:pPr>
        <w:numPr>
          <w:ilvl w:val="0"/>
          <w:numId w:val="74"/>
        </w:numPr>
      </w:pPr>
      <w:r>
        <w:rPr>
          <w:b/>
          <w:bCs/>
        </w:rPr>
        <w:t xml:space="preserve">Optimal Bottleneck Severing:</w:t>
      </w:r>
      <w:r>
        <w:t xml:space="preserve"> </w:t>
      </w:r>
      <w:r>
        <w:t xml:space="preserve">Rather than revoking dozens of individual enroller permissions, the Stackelberg policy systematically identifies structural bottlenecks: revoking a single intermediate</w:t>
      </w:r>
      <w:r>
        <w:t xml:space="preserve"> </w:t>
      </w:r>
      <w:r>
        <w:rPr>
          <w:rStyle w:val="VerbatimChar"/>
        </w:rPr>
        <w:t xml:space="preserve">MemberOf</w:t>
      </w:r>
      <w:r>
        <w:t xml:space="preserve"> </w:t>
      </w:r>
      <w:r>
        <w:t xml:space="preserve">delegation edge severed an average of</w:t>
      </w:r>
      <w:r>
        <w:t xml:space="preserve"> </w:t>
      </w:r>
      <m:oMath>
        <m:r>
          <m:t>84.2</m:t>
        </m:r>
        <m:r>
          <m:rPr>
            <m:sty m:val="p"/>
          </m:rPr>
          <m:t>%</m:t>
        </m:r>
      </m:oMath>
      <w:r>
        <w:t xml:space="preserve"> </w:t>
      </w:r>
      <w:r>
        <w:t xml:space="preserve">of all incoming attack paths.</w:t>
      </w:r>
    </w:p>
    <w:p>
      <w:pPr>
        <w:numPr>
          <w:ilvl w:val="0"/>
          <w:numId w:val="74"/>
        </w:numPr>
      </w:pPr>
      <w:r>
        <w:rPr>
          <w:b/>
          <w:bCs/>
        </w:rPr>
        <w:t xml:space="preserve">Bounded Operational Cost:</w:t>
      </w:r>
      <w:r>
        <w:t xml:space="preserve"> </w:t>
      </w:r>
      <w:r>
        <w:t xml:space="preserve">Under the regularized utility function, total operational disruption costs remained within</w:t>
      </w:r>
      <w:r>
        <w:t xml:space="preserve"> </w:t>
      </w:r>
      <m:oMath>
        <m:r>
          <m:t>12</m:t>
        </m:r>
        <m:r>
          <m:rPr>
            <m:sty m:val="p"/>
          </m:rPr>
          <m:t>%</m:t>
        </m:r>
      </m:oMath>
      <w:r>
        <w:t xml:space="preserve"> </w:t>
      </w:r>
      <w:r>
        <w:t xml:space="preserve">of the pre-set business disruption budget</w:t>
      </w:r>
      <w:r>
        <w:t xml:space="preserve"> </w:t>
      </w:r>
      <m:oMath>
        <m:sSub>
          <m:e>
            <m:r>
              <m:t>B</m:t>
            </m:r>
          </m:e>
          <m:sub>
            <m:r>
              <m:rPr>
                <m:nor/>
                <m:sty m:val="p"/>
              </m:rPr>
              <m:t>ops</m:t>
            </m:r>
          </m:sub>
        </m:sSub>
      </m:oMath>
      <w:r>
        <w:t xml:space="preserve">, avoiding administrative denial-of-service.</w:t>
      </w:r>
    </w:p>
    <w:p>
      <w:pPr>
        <w:numPr>
          <w:ilvl w:val="0"/>
          <w:numId w:val="74"/>
        </w:numPr>
      </w:pPr>
      <w:r>
        <w:rPr>
          <w:b/>
          <w:bCs/>
        </w:rPr>
        <w:t xml:space="preserve">Rapid Convergence:</w:t>
      </w:r>
      <w:r>
        <w:t xml:space="preserve"> </w:t>
      </w:r>
      <w:r>
        <w:t xml:space="preserve">The ODE-regularized RL policy converged within 250 training episodes, maintaining a stable policy that neutralized</w:t>
      </w:r>
      <w:r>
        <w:t xml:space="preserve"> </w:t>
      </w:r>
      <m:oMath>
        <m:r>
          <m:t>100</m:t>
        </m:r>
        <m:r>
          <m:rPr>
            <m:sty m:val="p"/>
          </m:rPr>
          <m:t>%</m:t>
        </m:r>
      </m:oMath>
      <w:r>
        <w:t xml:space="preserve"> </w:t>
      </w:r>
      <w:r>
        <w:t xml:space="preserve">of simulated lateral movement attempts.</w:t>
      </w:r>
    </w:p>
    <w:bookmarkEnd w:id="143"/>
    <w:bookmarkEnd w:id="144"/>
    <w:bookmarkStart w:id="145" w:name="ch:conclusion"/>
    <w:p>
      <w:pPr>
        <w:pStyle w:val="Heading1"/>
        <w:pageBreakBefore/>
        <w:spacing w:before="360" w:after="240"/>
      </w:pPr>
      <w:r>
        <w:t xml:space="preserve">Conclusion, Limitations, and Future Horizons</w:t>
      </w:r>
    </w:p>
    <w:bookmarkStart w:id="146"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47" w:name="theoretical-contributions"/>
    <w:p>
      <w:pPr>
        <w:pStyle w:val="Heading3"/>
      </w:pPr>
      <w:r>
        <w:t xml:space="preserve">Theoretical Contributions</w:t>
      </w:r>
    </w:p>
    <w:p>
      <w:pPr>
        <w:keepNext/>
        <w:numPr>
          <w:ilvl w:val="0"/>
          <w:numId w:val="75"/>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75"/>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75"/>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w:t>
      </w:r>
      <w:r>
        <w:t xml:space="preserve">, addressing the game-theoretic access interdiction challenges studied in Active Directory defense </w:t>
      </w:r>
      <w:r>
        <w:t xml:space="preserve">(Guo et al. 2023)</w:t>
      </w:r>
      <w:r>
        <w:t xml:space="preserve">.</w:t>
      </w:r>
    </w:p>
    <w:bookmarkEnd w:id="145"/>
    <w:bookmarkStart w:id="148" w:name="methodological-contributions"/>
    <w:p>
      <w:pPr>
        <w:pStyle w:val="Heading3"/>
      </w:pPr>
      <w:r>
        <w:t xml:space="preserve">Methodological Contributions</w:t>
      </w:r>
    </w:p>
    <w:p>
      <w:pPr>
        <w:numPr>
          <w:ilvl w:val="0"/>
          <w:numId w:val="76"/>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76"/>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76"/>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46"/>
    <w:bookmarkStart w:id="149" w:name="empirical-contributions"/>
    <w:p>
      <w:pPr>
        <w:pStyle w:val="Heading3"/>
      </w:pPr>
      <w:r>
        <w:t xml:space="preserve">Empirical Contributions</w:t>
      </w:r>
    </w:p>
    <w:p>
      <w:pPr>
        <w:numPr>
          <w:ilvl w:val="0"/>
          <w:numId w:val="77"/>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77"/>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77"/>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77"/>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47"/>
    <w:bookmarkStart w:id="150" w:name="architectural-contributions"/>
    <w:p>
      <w:pPr>
        <w:pStyle w:val="Heading3"/>
      </w:pPr>
      <w:r>
        <w:t xml:space="preserve">Architectural Contributions</w:t>
      </w:r>
    </w:p>
    <w:p>
      <w:pPr>
        <w:numPr>
          <w:ilvl w:val="0"/>
          <w:numId w:val="78"/>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78"/>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48"/>
    <w:bookmarkEnd w:id="149"/>
    <w:bookmarkStart w:id="151"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79"/>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79"/>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79"/>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79"/>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50"/>
    <w:bookmarkStart w:id="152"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0"/>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0"/>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0"/>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0"/>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51"/>
    <w:bookmarkStart w:id="153"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1"/>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1"/>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1"/>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1"/>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52"/>
    <w:bookmarkStart w:id="154"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53"/>
    <w:bookmarkStart w:id="155" w:name="future-research-horizons"/>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2"/>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2"/>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2"/>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2"/>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2"/>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2"/>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54"/>
    <w:bookmarkStart w:id="156"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55"/>
    <w:bookmarkEnd w:id="156"/>
    <w:bookmarkStart w:id="157"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3"/>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3"/>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58"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57"/>
    <w:bookmarkStart w:id="159"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the reverse triangle inequality for operator norms: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For the direct skip path, the minimum singular value of the matrix product satisfies: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Assuming full-rank initialization with</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for all</w:t>
      </w:r>
      <w:r>
        <w:t xml:space="preserve"> </w:t>
      </w:r>
      <m:oMath>
        <m:r>
          <m:t>k</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(as standard in linear projection layers initialized via Xavier or He uniform initialization), the skip connection establishes a guaranteed, non-vanishing path preserving initial attributes. Following the analytical framework of GCNII (Chen et al., 2020) </w:t>
      </w:r>
      <w:r>
        <w:t xml:space="preserve">(Chen et al. 2020)</w:t>
      </w:r>
      <w:r>
        <w:t xml:space="preserve">, this prevents over-smoothing and feature decay, ensuring that:</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bookmarkEnd w:id="158"/>
    <w:bookmarkStart w:id="160"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84"/>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84"/>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59"/>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60"/>
    <w:bookmarkStart w:id="161"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85"/>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85"/>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86"/>
        </w:numPr>
      </w:pPr>
      <m:oMath>
        <m:r>
          <m:rPr>
            <m:nor/>
            <m:sty m:val="p"/>
          </m:rPr>
          <m:t>MPAI</m:t>
        </m:r>
        <m:r>
          <m:rPr>
            <m:sty m:val="p"/>
          </m:rPr>
          <m:t>∈</m:t>
        </m:r>
        <m:r>
          <m:rPr>
            <m:nor/>
            <m:sty m:val="p"/>
          </m:rPr>
          <m:t>NP</m:t>
        </m:r>
      </m:oMath>
      <w:r>
        <w:t xml:space="preserve">, and</w:t>
      </w:r>
    </w:p>
    <w:p>
      <w:pPr>
        <w:numPr>
          <w:ilvl w:val="0"/>
          <w:numId w:val="86"/>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62"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87"/>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87"/>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87"/>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61"/>
    <w:bookmarkStart w:id="163" w:name="X3bab4d3de5459ac44503a5bebcc181b452c0fad"/>
    <w:p>
      <w:pPr>
        <w:pStyle w:val="Heading5"/>
      </w:pPr>
      <w:r>
        <w:t xml:space="preserve">Part 2: Polynomial-Time Reduction from Directed Multiway Cut.</w:t>
      </w:r>
    </w:p>
    <w:p>
      <w:pPr>
        <w:pStyle w:val="FirstParagraph"/>
      </w:pPr>
      <w:r>
        <w:t xml:space="preserve">While the classical Multiterminal Cut problem on undirected graphs was proven NP-complete for</w:t>
      </w:r>
      <w:r>
        <w:t xml:space="preserve"> </w:t>
      </w:r>
      <m:oMath>
        <m:r>
          <m:t>k</m:t>
        </m:r>
        <m:r>
          <m:rPr>
            <m:sty m:val="p"/>
          </m:rPr>
          <m:t>≥</m:t>
        </m:r>
        <m:r>
          <m:t>3</m:t>
        </m:r>
      </m:oMath>
      <w:r>
        <w:t xml:space="preserve"> </w:t>
      </w:r>
      <w:r>
        <w:t xml:space="preserve">by Dahlhaus et al. (1994) </w:t>
      </w:r>
      <w:r>
        <w:t xml:space="preserve">(Dahlhaus et al. 1994)</w:t>
      </w:r>
      <w:r>
        <w:t xml:space="preserve"> </w:t>
      </w:r>
      <w:r>
        <w:t xml:space="preserve">(and polynomial-time solvable for</w:t>
      </w:r>
      <w:r>
        <w:t xml:space="preserve"> </w:t>
      </w:r>
      <m:oMath>
        <m:r>
          <m:t>k</m:t>
        </m:r>
        <m:r>
          <m:rPr>
            <m:sty m:val="p"/>
          </m:rPr>
          <m:t>=</m:t>
        </m:r>
        <m:r>
          <m:t>2</m:t>
        </m:r>
      </m:oMath>
      <w:r>
        <w:t xml:space="preserve"> </w:t>
      </w:r>
      <w:r>
        <w:t xml:space="preserve">via standard min-cut algorithms), enterprise identity attack graphs are directed and asymmetric. We therefore base our reduction on the</w:t>
      </w:r>
      <w:r>
        <w:t xml:space="preserve"> </w:t>
      </w:r>
      <w:r>
        <w:rPr>
          <w:b/>
          <w:bCs/>
        </w:rPr>
        <w:t xml:space="preserve">Directed Multiway Cut</w:t>
      </w:r>
      <w:r>
        <w:t xml:space="preserve"> </w:t>
      </w:r>
      <w:r>
        <w:t xml:space="preserve">problem, which was proven NP-complete even for</w:t>
      </w:r>
      <w:r>
        <w:t xml:space="preserve"> </w:t>
      </w:r>
      <m:oMath>
        <m:r>
          <m:t>k</m:t>
        </m:r>
        <m:r>
          <m:rPr>
            <m:sty m:val="p"/>
          </m:rPr>
          <m:t>≥</m:t>
        </m:r>
        <m:r>
          <m:t>2</m:t>
        </m:r>
      </m:oMath>
      <w:r>
        <w:t xml:space="preserve"> </w:t>
      </w:r>
      <w:r>
        <w:t xml:space="preserve">by Garg, Vazirani, and Yannakakis (1994)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88"/>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88"/>
        </w:numPr>
      </w:pPr>
      <w:r>
        <w:rPr>
          <w:b/>
          <w:bCs/>
        </w:rPr>
        <w:t xml:space="preserve">Edge and Cost Construction:</w:t>
      </w:r>
    </w:p>
    <w:p>
      <w:pPr>
        <w:numPr>
          <w:ilvl w:val="1"/>
          <w:numId w:val="89"/>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0"/>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0"/>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0"/>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0"/>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89"/>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88"/>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88"/>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62"/>
    <w:bookmarkStart w:id="164" w:name="equivalence-of-solutions"/>
    <w:p>
      <w:pPr>
        <w:pStyle w:val="Heading5"/>
      </w:pPr>
      <w:r>
        <w:t xml:space="preserve">Equivalence of Solutions:</w:t>
      </w:r>
    </w:p>
    <w:p>
      <w:pPr>
        <w:numPr>
          <w:ilvl w:val="0"/>
          <w:numId w:val="91"/>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1"/>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63"/>
    <w:bookmarkStart w:id="165" w:name="refs"/>
    <w:bookmarkStart w:id="166"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64"/>
    <w:bookmarkStart w:id="167"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5">
        <w:r>
          <w:rPr>
            <w:rStyle w:val="Hyperlink"/>
          </w:rPr>
          <w:t xml:space="preserve">https://github.com/GhostPack/PSPKIAudit</w:t>
        </w:r>
      </w:hyperlink>
      <w:r>
        <w:t xml:space="preserve">.</w:t>
      </w:r>
    </w:p>
    <w:bookmarkEnd w:id="165"/>
    <w:bookmarkStart w:id="168" w:name="ref-feynman2024ekuwu"/>
    <w:p>
      <w:pPr>
        <w:pStyle w:val="Bibliography"/>
      </w:pPr>
      <w:r>
        <w:t xml:space="preserve">Bollinger, Justin. 2024.</w:t>
      </w:r>
      <w:r>
        <w:t xml:space="preserve"> </w:t>
      </w:r>
      <w:r>
        <w:t xml:space="preserve">“</w:t>
      </w:r>
      <w:r>
        <w:t xml:space="preserve">EKUwu</w:t>
      </w:r>
      <w:r>
        <w:t xml:space="preserve">: Not Just Another</w:t>
      </w:r>
      <w:r>
        <w:t xml:space="preserve"> </w:t>
      </w:r>
      <w:r>
        <w:t xml:space="preserve">AD CS</w:t>
      </w:r>
      <w:r>
        <w:t xml:space="preserve"> </w:t>
      </w:r>
      <w:r>
        <w:t xml:space="preserve">Vulnerability.”</w:t>
      </w:r>
      <w:r>
        <w:t xml:space="preserve"> </w:t>
      </w:r>
      <w:r>
        <w:rPr>
          <w:i/>
          <w:iCs/>
        </w:rPr>
        <w:t xml:space="preserve">TrustedSec Research Technical Advisory</w:t>
      </w:r>
      <w:r>
        <w:t xml:space="preserve">.</w:t>
      </w:r>
      <w:r>
        <w:t xml:space="preserve"> </w:t>
      </w:r>
      <w:hyperlink r:id="rId26">
        <w:r>
          <w:rPr>
            <w:rStyle w:val="Hyperlink"/>
          </w:rPr>
          <w:t xml:space="preserve">https://trustedsec.com/blog/ekuwu-not-just-another-ad-cs-vulnerability</w:t>
        </w:r>
      </w:hyperlink>
      <w:r>
        <w:t xml:space="preserve">.</w:t>
      </w:r>
    </w:p>
    <w:bookmarkEnd w:id="166"/>
    <w:bookmarkStart w:id="169"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67"/>
    <w:bookmarkStart w:id="170"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68"/>
    <w:bookmarkStart w:id="171" w:name="ref-dahlstrm2000multiway"/>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69"/>
    <w:bookmarkStart w:id="172"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70"/>
    <w:bookmarkStart w:id="173"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71"/>
    <w:bookmarkStart w:id="174"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72"/>
    <w:bookmarkStart w:id="175" w:name="ref-goel2025coevolutionary"/>
    <w:p>
      <w:pPr>
        <w:pStyle w:val="Bibliography"/>
      </w:pPr>
      <w:r>
        <w:t xml:space="preserve">Goel, Abhinav, Muhammad Ahmad, J. Moore, and Mingyu Guo. 2025.</w:t>
      </w:r>
      <w:r>
        <w:t xml:space="preserve"> </w:t>
      </w:r>
      <w:r>
        <w:t xml:space="preserve">“Co-Evolutionary Defence of Active Directory Attack Graphs via</w:t>
      </w:r>
      <w:r>
        <w:t xml:space="preserve"> </w:t>
      </w:r>
      <w:r>
        <w:t xml:space="preserve">GNN</w:t>
      </w:r>
      <w:r>
        <w:t xml:space="preserve">-Approximated Dynamic Programming.”</w:t>
      </w:r>
      <w:r>
        <w:t xml:space="preserve"> </w:t>
      </w:r>
      <w:r>
        <w:rPr>
          <w:i/>
          <w:iCs/>
        </w:rPr>
        <w:t xml:space="preserve">arXiv Preprint arXiv:2505.11710</w:t>
      </w:r>
      <w:r>
        <w:t xml:space="preserve">.</w:t>
      </w:r>
    </w:p>
    <w:bookmarkEnd w:id="173"/>
    <w:bookmarkStart w:id="176" w:name="ref-guo2023scalable"/>
    <w:p>
      <w:pPr>
        <w:pStyle w:val="Bibliography"/>
      </w:pPr>
      <w:r>
        <w:t xml:space="preserve">Guo, Mingyu, Jiaming Ward, Aneta Neumann, Frank Neumann, and Hung Nguyen. 2023.</w:t>
      </w:r>
      <w:r>
        <w:t xml:space="preserve"> </w:t>
      </w:r>
      <w:r>
        <w:t xml:space="preserve">“Scalable Edge Blocking Algorithms for Defending Active Directory Style Attack Graphs.”</w:t>
      </w:r>
      <w:r>
        <w:t xml:space="preserve"> </w:t>
      </w:r>
      <w:r>
        <w:rPr>
          <w:i/>
          <w:iCs/>
        </w:rPr>
        <w:t xml:space="preserve">Proceedings of the AAAI Conference on Artificial Intelligence</w:t>
      </w:r>
      <w:r>
        <w:t xml:space="preserve"> </w:t>
      </w:r>
      <w:r>
        <w:t xml:space="preserve">37: 5649–56.</w:t>
      </w:r>
      <w:r>
        <w:t xml:space="preserve"> </w:t>
      </w:r>
      <w:hyperlink r:id="rId27">
        <w:r>
          <w:rPr>
            <w:rStyle w:val="Hyperlink"/>
          </w:rPr>
          <w:t xml:space="preserve">https://doi.org/10.1609/aaai.v37i5.25702</w:t>
        </w:r>
      </w:hyperlink>
      <w:r>
        <w:t xml:space="preserve">.</w:t>
      </w:r>
    </w:p>
    <w:bookmarkEnd w:id="174"/>
    <w:bookmarkStart w:id="177"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75"/>
    <w:bookmarkStart w:id="178"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76"/>
    <w:bookmarkStart w:id="179"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77"/>
    <w:bookmarkStart w:id="180"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78"/>
    <w:bookmarkStart w:id="181"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28">
        <w:r>
          <w:rPr>
            <w:rStyle w:val="Hyperlink"/>
          </w:rPr>
          <w:t xml:space="preserve">https://posts.specterops.io/adcs-esc13-abuse-of-certificate-templates-with-issuance-policies-53457a4e613b</w:t>
        </w:r>
      </w:hyperlink>
      <w:r>
        <w:t xml:space="preserve">.</w:t>
      </w:r>
    </w:p>
    <w:bookmarkEnd w:id="179"/>
    <w:bookmarkStart w:id="182" w:name="ref-alldritt2023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29">
        <w:r>
          <w:rPr>
            <w:rStyle w:val="Hyperlink"/>
          </w:rPr>
          <w:t xml:space="preserve">https://github.com/ly4k/Certipy</w:t>
        </w:r>
      </w:hyperlink>
      <w:r>
        <w:t xml:space="preserve">.</w:t>
      </w:r>
    </w:p>
    <w:bookmarkEnd w:id="180"/>
    <w:bookmarkStart w:id="183"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30">
        <w:r>
          <w:rPr>
            <w:rStyle w:val="Hyperlink"/>
          </w:rPr>
          <w:t xml:space="preserve">https://github.com/Orange-Cyberdefense/GOAD</w:t>
        </w:r>
      </w:hyperlink>
      <w:r>
        <w:t xml:space="preserve">.</w:t>
      </w:r>
    </w:p>
    <w:bookmarkEnd w:id="181"/>
    <w:bookmarkStart w:id="184"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82"/>
    <w:bookmarkStart w:id="185"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183"/>
    <w:bookmarkStart w:id="186"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184"/>
    <w:bookmarkStart w:id="187"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185"/>
    <w:bookmarkStart w:id="188"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186"/>
    <w:bookmarkStart w:id="189"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1">
        <w:r>
          <w:rPr>
            <w:rStyle w:val="Hyperlink"/>
          </w:rPr>
          <w:t xml:space="preserve">https://github.com/BloodHoundAD/BloodHound</w:t>
        </w:r>
      </w:hyperlink>
      <w:r>
        <w:t xml:space="preserve">.</w:t>
      </w:r>
    </w:p>
    <w:bookmarkEnd w:id="187"/>
    <w:bookmarkStart w:id="190"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188"/>
    <w:bookmarkStart w:id="191"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32">
        <w:r>
          <w:rPr>
            <w:rStyle w:val="Hyperlink"/>
          </w:rPr>
          <w:t xml:space="preserve">https://posts.specterops.io/certified-pre-owned-d95910965cd2</w:t>
        </w:r>
      </w:hyperlink>
      <w:r>
        <w:t xml:space="preserve">.</w:t>
      </w:r>
    </w:p>
    <w:bookmarkEnd w:id="189"/>
    <w:bookmarkStart w:id="192"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190"/>
    <w:bookmarkStart w:id="193"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191"/>
    <w:bookmarkStart w:id="194"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192"/>
    <w:bookmarkStart w:id="195"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193"/>
    <w:bookmarkStart w:id="196"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33">
        <w:r>
          <w:rPr>
            <w:rStyle w:val="Hyperlink"/>
          </w:rPr>
          <w:t xml:space="preserve">https://www.rfc-editor.org/rfc/rfc4556</w:t>
        </w:r>
      </w:hyperlink>
      <w:r>
        <w:t xml:space="preserve">.</w:t>
      </w:r>
    </w:p>
    <w:bookmarkEnd w:id="194"/>
    <w:bookmarkEnd w:id="195"/>
    <w:bookmarkEnd w:id="196"/>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0BBE55"/>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53ED82A"/>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hyperlink" Target="https://github.com/GhostPack/PSPKIAudit" TargetMode="External"/><Relationship Id="rId26" Type="http://schemas.openxmlformats.org/officeDocument/2006/relationships/hyperlink" Target="https://trustedsec.com/blog/ekuwu-not-just-another-ad-cs-vulnerability" TargetMode="External"/><Relationship Id="rId27" Type="http://schemas.openxmlformats.org/officeDocument/2006/relationships/hyperlink" Target="https://doi.org/10.1609/aaai.v37i5.25702" TargetMode="External"/><Relationship Id="rId28" Type="http://schemas.openxmlformats.org/officeDocument/2006/relationships/hyperlink" Target="https://posts.specterops.io/adcs-esc13-abuse-of-certificate-templates-with-issuance-policies-53457a4e613b" TargetMode="External"/><Relationship Id="rId29" Type="http://schemas.openxmlformats.org/officeDocument/2006/relationships/hyperlink" Target="https://github.com/ly4k/Certipy" TargetMode="External"/><Relationship Id="rId30" Type="http://schemas.openxmlformats.org/officeDocument/2006/relationships/hyperlink" Target="https://github.com/Orange-Cyberdefense/GOAD" TargetMode="External"/><Relationship Id="rId31" Type="http://schemas.openxmlformats.org/officeDocument/2006/relationships/hyperlink" Target="https://github.com/BloodHoundAD/BloodHound" TargetMode="External"/><Relationship Id="rId32" Type="http://schemas.openxmlformats.org/officeDocument/2006/relationships/hyperlink" Target="https://posts.specterops.io/certified-pre-owned-d95910965cd2" TargetMode="External"/><Relationship Id="rId33"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