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2002126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2002138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2102151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8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identity and cryptographic backbone of modern Windows enterprise networks, issuing public-key certificates used for domain authentication, transport encryption, and single sign-on. When certificate templates, issuance policies, and access control lists (ACLs) are misconfigured, unprivileged accounts can obtain unauthorized administrative certificates and take over entire Active Directory forests. While signature-based scanners (such as Certipy and BloodHound) identify known vulnerable flag combinations, they either evaluate configuration attributes in isolation or incur high traversal costs on dense enterprise graphs.</w:t>
      </w:r>
    </w:p>
    <w:p>
      <w:pPr>
        <w:spacing w:before="0" w:after="120" w:line="276" w:lineRule="auto"/>
        <w:jc w:val="both"/>
      </w:pPr>
      <w:r>
        <w:rPr>
          <w:rFonts w:ascii="Times New Roman" w:hAnsi="Times New Roman"/>
          <w:b w:val="0"/>
          <w:i w:val="0"/>
          <w:sz w:val="22"/>
        </w:rPr>
        <w:t>This thesis examines whether heterogeneous graph attention networks can reliably detect ADCS privilege escalation vectors (ESC1, ESC2, ESC3, ESC4, ESC9, and ESC13) directly from relational identity multigraphs. Using the experimental audit framework of Arp et al. (2022), we first evaluate synthetic Active Directory datasets and identify three systemic methodological pitfalls: positional identifier leakage in generation routines, feature asymmetry between baselines, and benchmark saturation where synthetic rules can be recovered by shallow tabular heuristics. We prove mathematically (Theorem 1) that residual skip-connections are indispensable for preventing representation collapse on identity graphs; without them, template representations become independent of their initial configuration flags, dropping classification F1 from 0.9986 to 0.4768.</w:t>
      </w:r>
    </w:p>
    <w:p>
      <w:pPr>
        <w:spacing w:before="0" w:after="120" w:line="276" w:lineRule="auto"/>
        <w:jc w:val="both"/>
      </w:pPr>
      <w:r>
        <w:rPr>
          <w:rFonts w:ascii="Times New Roman" w:hAnsi="Times New Roman"/>
          <w:b w:val="0"/>
          <w:i w:val="0"/>
          <w:sz w:val="22"/>
        </w:rPr>
        <w:t>On an audited benchmark of 700 enterprise environments evaluated under 5-fold cross-validation with Nadeau-Bengio corrected variance estimators, our model achieves a Macro-F1 of 0.9986, significantly outperforming flat classifiers (0.8600) and signature heuristics (0.7791). However, when tested against an adversarial Zero-Shot Hard Negative suite (n = 63) containing non-exploitable templates with dangerous flags, pure neural models collapse to 1.59% accuracy due to shortcut learning on local template flags. Symbolic path traversal, by contrast, correctly recognizes path absence in 84.13% of cases.</w:t>
      </w:r>
    </w:p>
    <w:p>
      <w:pPr>
        <w:spacing w:before="0" w:after="240" w:line="276" w:lineRule="auto"/>
        <w:jc w:val="both"/>
      </w:pPr>
      <w:r>
        <w:rPr>
          <w:rFonts w:ascii="Times New Roman" w:hAnsi="Times New Roman"/>
          <w:b w:val="0"/>
          <w:i w:val="0"/>
          <w:sz w:val="22"/>
        </w:rPr>
        <w:t>To reconcile this gap, we develop a Two-Tier Neuro-Symbolic architecture. The neural tier acts as a high-throughput candidate screener, filtering out over 89% of benign templates, while a localized symbolic oracle provides deterministic reachability proofs for flagged candidates. We show that false-positive suppression on hard negatives is achieved by design through this division of labor. Finally, we model identity privilege revocation as a Stackelberg security game and establish that optimal edge interdiction is NP-hard via reduction from Directed Multiway Cut, introducing a polynomial-time greedy heuristic that severs 92% of reachable attack paths under bounded operational budgets.</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Multiway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w:t>
      </w:r>
      <w:r>
        <w:t xml:space="preserve">(Goel et al. 2025; Guo et al. 2023)</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X6fa927a5f3749a85997b0a4f3f59e340fdd0a0d"/>
    <w:p>
      <w:pPr>
        <w:pStyle w:val="Heading3"/>
      </w:pPr>
      <w:r>
        <w:t xml:space="preserve">Game Theory and Machine Learning Pitfalls in Cybersecurity</w:t>
      </w:r>
    </w:p>
    <w:p>
      <w:pPr>
        <w:pStyle w:val="FirstParagraph"/>
        <w:keepNext/>
        <w:spacing w:before="160" w:after="80"/>
        <w:jc w:val="center"/>
      </w:pPr>
      <w:r>
        <w:t xml:space="preserve">Applying machine learning and game theory to enterprise cybersecurity introduces distinct structural and combinatorial constraints. In active defense, Stackelberg security games (Kiekintveld et al., 2009) </w:t>
      </w:r>
      <w:r>
        <w:t xml:space="preserve">(Kiekintveld et al. 2009)</w:t>
      </w:r>
      <w:r>
        <w:t xml:space="preserve"> </w:t>
      </w:r>
      <w:r>
        <w:t xml:space="preserve">provide a principled foundation for allocating defensive countermeasures against worst-case adversaries. On enterprise attack graphs, Guo et al. (2023) </w:t>
      </w:r>
      <w:r>
        <w:t xml:space="preserve">(Guo et al. 2023)</w:t>
      </w:r>
      <w:r>
        <w:t xml:space="preserve"> </w:t>
      </w:r>
      <w:r>
        <w:t xml:space="preserve">investigated scalable edge-blocking algorithms by exploiting graph treewidth and parameterizing non-splitting paths to minimize attacker reachability to Domain Admin under operational budget constraints. Expanding upon this game-theoretic interdiction formulation, Goel et al. (2025) </w:t>
      </w:r>
      <w:r>
        <w:t xml:space="preserve">(Goel et al. 2025)</w:t>
      </w:r>
      <w:r>
        <w:t xml:space="preserve"> </w:t>
      </w:r>
      <w:r>
        <w:t xml:space="preserve">introduced a co-evolutionary defense framework pairing Graph Neural Network-approximated dynamic programming (GNNDP) with evolutionary diversity optimization over parameterized attack graphs, demonstrating that neural approximations can scale defensive search against adaptive multi-hop attackers.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6"/>
    <w:bookmarkEnd w:id="17"/>
    <w:bookmarkStart w:id="19"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0"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5"/>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5"/>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5"/>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5"/>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8"/>
    <w:bookmarkStart w:id="21"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6"/>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6"/>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6"/>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19"/>
    <w:bookmarkStart w:id="22"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7"/>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7"/>
        </w:numPr>
      </w:pPr>
      <w:r>
        <w:t xml:space="preserve">Verifies that the certificate contains an authorized Extended Key Usage (EKU) permitting client authentication.</w:t>
      </w:r>
    </w:p>
    <w:p>
      <w:pPr>
        <w:numPr>
          <w:ilvl w:val="0"/>
          <w:numId w:val="27"/>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7"/>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0"/>
    <w:bookmarkStart w:id="23"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8"/>
        </w:numPr>
      </w:pPr>
      <w:r>
        <w:rPr>
          <w:rStyle w:val="VerbatimChar"/>
        </w:rPr>
        <w:t xml:space="preserve">GenericAll</w:t>
      </w:r>
      <w:r>
        <w:t xml:space="preserve">: Full unrestricted control over the target object (enabling password resets, attribute modification, and object deletion).</w:t>
      </w:r>
    </w:p>
    <w:p>
      <w:pPr>
        <w:numPr>
          <w:ilvl w:val="0"/>
          <w:numId w:val="28"/>
        </w:numPr>
      </w:pPr>
      <w:r>
        <w:rPr>
          <w:rStyle w:val="VerbatimChar"/>
        </w:rPr>
        <w:t xml:space="preserve">GenericWrite</w:t>
      </w:r>
      <w:r>
        <w:t xml:space="preserve">: Permission to modify any non-confidential attribute of the object.</w:t>
      </w:r>
    </w:p>
    <w:p>
      <w:pPr>
        <w:numPr>
          <w:ilvl w:val="0"/>
          <w:numId w:val="28"/>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8"/>
        </w:numPr>
      </w:pPr>
      <w:r>
        <w:rPr>
          <w:rStyle w:val="VerbatimChar"/>
        </w:rPr>
        <w:t xml:space="preserve">WriteOwner</w:t>
      </w:r>
      <w:r>
        <w:t xml:space="preserve">: Permission to assume ownership of the object and subsequently rewrite its security descriptor.</w:t>
      </w:r>
    </w:p>
    <w:p>
      <w:pPr>
        <w:numPr>
          <w:ilvl w:val="0"/>
          <w:numId w:val="28"/>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1"/>
    <w:bookmarkEnd w:id="22"/>
    <w:bookmarkStart w:id="24"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5" w:name="fig:adcs_schema"/>
    <w:p xmlns:a="http://schemas.openxmlformats.org/drawingml/2006/main" xmlns:pic="http://schemas.openxmlformats.org/drawingml/2006/picture">
      <w:pPr>
        <w:pStyle w:val="CaptionedFigure"/>
        <w:keepNext/>
        <w:spacing w:before="160" w:after="80"/>
        <w:jc w:val="center"/>
      </w:pPr>
      <w:r>
        <w:drawing>
          <wp:inline>
            <wp:extent cx="6121400" cy="3438023"/>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6121400" cy="3438023"/>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3"/>
    <w:p>
      <w:pPr>
        <w:numPr>
          <w:ilvl w:val="0"/>
          <w:numId w:val="29"/>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29"/>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29"/>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0"/>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0"/>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0"/>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0"/>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29"/>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4"/>
    <w:bookmarkStart w:id="26"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7" w:name="sec:esc_scoping"/>
    <w:p>
      <w:pPr>
        <w:pStyle w:val="Heading3"/>
      </w:pPr>
      <w:r>
        <w:t xml:space="preserve">Target Space Scoping: Inclusion and Exclusion Rationale</w:t>
      </w:r>
    </w:p>
    <w:p>
      <w:pPr>
        <w:pStyle w:val="FirstParagraph"/>
      </w:pPr>
      <w:r>
        <w:t xml:space="preserve">While Table </w:t>
      </w:r>
      <w:hyperlink w:anchor="tab:esc_taxonomy">
        <w:r>
          <w:rPr>
            <w:rStyle w:val="Hyperlink"/>
          </w:rPr>
          <w:t xml:space="preserve">[tab:esc_taxonomy]</w:t>
        </w:r>
      </w:hyperlink>
      <w:r>
        <w:t xml:space="preserve"> </w:t>
      </w:r>
      <w:r>
        <w:t xml:space="preserve">enumerates all 15 historically documented escalation classes, our machine-learning auditing target space is intentionally scoped to 7 mutually exclusive primary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p>
      <w:pPr>
        <w:pStyle w:val="FirstParagraph"/>
      </w:pPr>
      <w:r>
        <w:t xml:space="preserve">To ensure methodological clarity, we explicitly detail the operational and architectural rationale governing the exclusion of the remaining nine vectors:</w:t>
      </w:r>
    </w:p>
    <w:p>
      <w:pPr>
        <w:numPr>
          <w:ilvl w:val="0"/>
          <w:numId w:val="31"/>
        </w:numPr>
      </w:pPr>
      <w:r>
        <w:rPr>
          <w:b/>
          <w:bCs/>
        </w:rPr>
        <w:t xml:space="preserve">Template-Centric Access Topology vs. CA-Level Misconfigurations (ESC5, ESC6, ESC7):</w:t>
      </w:r>
      <w:r>
        <w:t xml:space="preserve"> </w:t>
      </w:r>
      <w:r>
        <w:t xml:space="preserve">CertGraph is formulated to evaluate discretionary authorization paths terminating at individual certificate template nodes (</w:t>
      </w:r>
      <m:oMath>
        <m:r>
          <m:t>t</m:t>
        </m:r>
        <m:r>
          <m:rPr>
            <m:sty m:val="p"/>
          </m:rPr>
          <m:t>∈</m:t>
        </m:r>
        <m:sSub>
          <m:e>
            <m:r>
              <m:t>V</m:t>
            </m:r>
          </m:e>
          <m:sub>
            <m:r>
              <m:rPr>
                <m:nor/>
                <m:sty m:val="p"/>
              </m:rPr>
              <m:t>Template</m:t>
            </m:r>
          </m:sub>
        </m:sSub>
      </m:oMath>
      <w:r>
        <w:t xml:space="preserve">). In contrast, ESC5, ESC6, and ESC7 represent server-wide Certification Authority or container-level misconfigurations. ESC6 represents a single registry toggle (</w:t>
      </w:r>
      <w:r>
        <w:rPr>
          <w:rStyle w:val="VerbatimChar"/>
        </w:rPr>
        <w:t xml:space="preserve">EDITF_ATTRIBUTE_SUBJECTALTNAME2</w:t>
      </w:r>
      <w:r>
        <w:t xml:space="preserve">) applied to the CA service itself, while ESC5 and ESC7 involve DACL permissions over the CA directory object or PKI enrollment services container (</w:t>
      </w:r>
      <w:r>
        <w:rPr>
          <w:rStyle w:val="VerbatimChar"/>
        </w:rPr>
        <w:t xml:space="preserve">CN=Public Key Services</w:t>
      </w:r>
      <w:r>
        <w:t xml:space="preserve">). These are trivially audited via direct LDAP attribute inspection and do not require multi-hop relational path reasoning over template subgraphs.</w:t>
      </w:r>
    </w:p>
    <w:p>
      <w:pPr>
        <w:numPr>
          <w:ilvl w:val="0"/>
          <w:numId w:val="31"/>
        </w:numPr>
      </w:pPr>
      <w:r>
        <w:rPr>
          <w:b/>
          <w:bCs/>
        </w:rPr>
        <w:t xml:space="preserve">Network Protocol Relay vs. Directory Graph Topology (ESC8, ESC11):</w:t>
      </w:r>
      <w:r>
        <w:t xml:space="preserve"> </w:t>
      </w:r>
      <w:r>
        <w:t xml:space="preserve">ESC8 (HTTP Web Enrollment relay) and ESC11 (MS-ICPR RPC interface coercion) are transient network protocol-level relay attacks. Their exploitability is dictated by runtime network configurations (e.g., whether NTLM authentication is enabled on IIS endpoints, whether RPC packet privacy is enforced, and network perimeter reachability). Because they do not depend on Active Directory identity graph topology or template issuance policies, they reside outside the scope of static identity graph auditing.</w:t>
      </w:r>
    </w:p>
    <w:p>
      <w:pPr>
        <w:numPr>
          <w:ilvl w:val="0"/>
          <w:numId w:val="31"/>
        </w:numPr>
      </w:pPr>
      <w:r>
        <w:rPr>
          <w:b/>
          <w:bCs/>
        </w:rPr>
        <w:t xml:space="preserve">Host-Level Registry Configurations and Endpoint Hardware (ESC10, ESC12):</w:t>
      </w:r>
      <w:r>
        <w:t xml:space="preserve"> </w:t>
      </w:r>
      <w:r>
        <w:t xml:space="preserve">ESC10 involves legacy registry mapping keys on Domain Controllers (pre-KB5014754 certificate-to-account mapping modes), which is a host-level operating system configuration rather than a directory graph relation. Similarly, ESC12 represents physical or driver-level hardware security module key extraction (e.g., cleartext session keys in YubiHSM memory), which is an endpoint hardware vulnerability with zero directory graph representation.</w:t>
      </w:r>
    </w:p>
    <w:p>
      <w:pPr>
        <w:numPr>
          <w:ilvl w:val="0"/>
          <w:numId w:val="31"/>
        </w:numPr>
      </w:pPr>
      <w:r>
        <w:rPr>
          <w:b/>
          <w:bCs/>
        </w:rPr>
        <w:t xml:space="preserve">User-Object DACL Hijacking vs. Certificate Issuance (ESC14):</w:t>
      </w:r>
      <w:r>
        <w:t xml:space="preserve"> </w:t>
      </w:r>
      <w:r>
        <w:t xml:space="preserve">ESC14 represents arbitrary write permissions over a target victim’s</w:t>
      </w:r>
      <w:r>
        <w:t xml:space="preserve"> </w:t>
      </w:r>
      <w:r>
        <w:rPr>
          <w:rStyle w:val="VerbatimChar"/>
        </w:rPr>
        <w:t xml:space="preserve">altSecurityIdentities</w:t>
      </w:r>
      <w:r>
        <w:t xml:space="preserve"> </w:t>
      </w:r>
      <w:r>
        <w:t xml:space="preserve">attribute. While this allows account takeover by mapping a rogue certificate, it is structurally identical to standard Active Directory object hijacking (e.g.,</w:t>
      </w:r>
      <w:r>
        <w:t xml:space="preserve"> </w:t>
      </w:r>
      <w:r>
        <w:rPr>
          <w:rStyle w:val="VerbatimChar"/>
        </w:rPr>
        <w:t xml:space="preserve">GenericAll</w:t>
      </w:r>
      <w:r>
        <w:t xml:space="preserve"> </w:t>
      </w:r>
      <w:r>
        <w:t xml:space="preserve">over a user account) rather than an ADCS template issuance flaw.</w:t>
      </w:r>
    </w:p>
    <w:p>
      <w:pPr>
        <w:numPr>
          <w:ilvl w:val="0"/>
          <w:numId w:val="31"/>
        </w:numPr>
      </w:pPr>
      <w:r>
        <w:rPr>
          <w:b/>
          <w:bCs/>
        </w:rPr>
        <w:t xml:space="preserve">Endpoint CSR Parser Vulnerabilities (ESC15 / CVE-2024-49019):</w:t>
      </w:r>
      <w:r>
        <w:t xml:space="preserve"> </w:t>
      </w:r>
      <w:r>
        <w:t xml:space="preserve">ESC15 (EKUwu) is an implementation-specific parser vulnerability in legacy Schema Version 1 templates that allows custom application policies to be embedded within client-side CSRs. Because it represents a client-side parser bug rather than an architectural access-control permission path, it is addressed by software patch KB5034127 rather than graph reachability analysis.</w:t>
      </w:r>
    </w:p>
    <w:p>
      <w:pPr>
        <w:pStyle w:val="FirstParagraph"/>
      </w:pPr>
      <w:r>
        <w:t xml:space="preserve">In contrast, the included vectors (</w:t>
      </w:r>
      <w:r>
        <w:rPr>
          <w:b/>
          <w:bCs/>
        </w:rPr>
        <w:t xml:space="preserve">ESC1, ESC2, ESC3, ESC4, ESC9, ESC13</w:t>
      </w:r>
      <w:r>
        <w:t xml:space="preserve">) represent the complete canonical suite of</w:t>
      </w:r>
      <w:r>
        <w:t xml:space="preserve"> </w:t>
      </w:r>
      <w:r>
        <w:rPr>
          <w:i/>
          <w:iCs/>
        </w:rPr>
        <w:t xml:space="preserve">template-centric, authorization-driven privilege escalation vectors</w:t>
      </w:r>
      <w:r>
        <w:t xml:space="preserve"> </w:t>
      </w:r>
      <w:r>
        <w:t xml:space="preserve">whose discovery fundamentally demands resolving the joint interaction between multi-hop identity graph paths and certificate template configuration flags.</w:t>
      </w:r>
    </w:p>
    <w:bookmarkStart w:id="28" w:name="fig:esc13_path"/>
    <w:p xmlns:a="http://schemas.openxmlformats.org/drawingml/2006/main" xmlns:pic="http://schemas.openxmlformats.org/drawingml/2006/picture">
      <w:pPr>
        <w:pStyle w:val="CaptionedFigure"/>
        <w:keepNext/>
        <w:spacing w:before="160" w:after="80"/>
        <w:jc w:val="center"/>
      </w:pPr>
      <w:r>
        <w:drawing>
          <wp:inline>
            <wp:extent cx="3672840" cy="1691507"/>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3672840" cy="1691507"/>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5"/>
    <w:bookmarkEnd w:id="26"/>
    <w:bookmarkEnd w:id="27"/>
    <w:bookmarkStart w:id="29"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30" w:name="attacker-model"/>
    <w:p>
      <w:pPr>
        <w:pStyle w:val="Heading3"/>
      </w:pPr>
      <w:r>
        <w:t xml:space="preserve">Attacker Model</w:t>
      </w:r>
    </w:p>
    <w:p>
      <w:pPr>
        <w:numPr>
          <w:ilvl w:val="0"/>
          <w:numId w:val="32"/>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2"/>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2"/>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8"/>
    <w:bookmarkStart w:id="31" w:name="defender-model"/>
    <w:p>
      <w:pPr>
        <w:pStyle w:val="Heading3"/>
      </w:pPr>
      <w:r>
        <w:t xml:space="preserve">Defender Model</w:t>
      </w:r>
    </w:p>
    <w:p>
      <w:pPr>
        <w:numPr>
          <w:ilvl w:val="0"/>
          <w:numId w:val="33"/>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3"/>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3"/>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avoiding cumbersome full-OS virtual machine simulations for static auditing.</w:t>
      </w:r>
    </w:p>
    <w:bookmarkEnd w:id="29"/>
    <w:bookmarkEnd w:id="30"/>
    <w:bookmarkEnd w:id="31"/>
    <w:bookmarkStart w:id="32" w:name="ch:methodology"/>
    <w:p>
      <w:pPr>
        <w:pStyle w:val="Heading1"/>
        <w:pageBreakBefore/>
        <w:spacing w:before="360" w:after="240"/>
      </w:pPr>
      <w:r>
        <w:t xml:space="preserve">Formal Methodology and CertGraph Architecture</w:t>
      </w:r>
    </w:p>
    <w:bookmarkStart w:id="33"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4"/>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4"/>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4"/>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4"/>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4"/>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4"/>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2"/>
    <w:bookmarkStart w:id="34"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5"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5"/>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5"/>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5"/>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5"/>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5"/>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5"/>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5"/>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5"/>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5"/>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5"/>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3"/>
    <w:bookmarkStart w:id="36"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6"/>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6"/>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6"/>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6"/>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4"/>
    <w:bookmarkStart w:id="37"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5"/>
    <w:bookmarkEnd w:id="36"/>
    <w:bookmarkStart w:id="38"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39" w:name="fig:certgraph_arch"/>
    <w:p xmlns:a="http://schemas.openxmlformats.org/drawingml/2006/main" xmlns:pic="http://schemas.openxmlformats.org/drawingml/2006/picture">
      <w:pPr>
        <w:pStyle w:val="CaptionedFigure"/>
        <w:keepNext/>
        <w:spacing w:before="160" w:after="80"/>
        <w:jc w:val="center"/>
      </w:pPr>
      <w:r>
        <w:drawing>
          <wp:inline>
            <wp:extent cx="6121400" cy="3029646"/>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6121400" cy="3029646"/>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7"/>
    <w:bookmarkStart w:id="40"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8"/>
    <w:bookmarkStart w:id="41"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39"/>
    <w:bookmarkStart w:id="42"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3"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40"/>
    <w:bookmarkEnd w:id="41"/>
    <w:bookmarkStart w:id="44"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over the materialized graph is mathematically sufficient to resolve all canonical ADCS escalation paths:</w:t>
      </w:r>
    </w:p>
    <w:p>
      <w:pPr>
        <w:numPr>
          <w:ilvl w:val="0"/>
          <w:numId w:val="37"/>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7"/>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7"/>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bookmarkStart w:id="45" w:name="Xa315f8198f0f444acc138236bc506dabe023a0f"/>
    <w:p>
      <w:pPr>
        <w:pStyle w:val="Heading5"/>
      </w:pPr>
      <w:r>
        <w:t xml:space="preserve">Transitive Closure of Group Nesting Hierarchy:</w:t>
      </w:r>
    </w:p>
    <w:p>
      <w:pPr>
        <w:pStyle w:val="FirstParagraph"/>
      </w:pPr>
      <w:r>
        <w:t xml:space="preserve">A critical architectural consideration in Active Directory security graphs is the handling of deeply nested group hierarchies (</w:t>
      </w:r>
      <m:oMath>
        <m:r>
          <m:rPr>
            <m:nor/>
            <m:sty m:val="p"/>
          </m:rPr>
          <m:t>User</m:t>
        </m:r>
        <m:limUpp>
          <m:e>
            <m:r>
              <m:rPr>
                <m:sty m:val="p"/>
              </m:rPr>
              <m:t>→</m:t>
            </m:r>
          </m:e>
          <m:lim>
            <m:r>
              <m:rPr>
                <m:nor/>
                <m:sty m:val="p"/>
              </m:rPr>
              <m:t>MemberOf</m:t>
            </m:r>
          </m:lim>
        </m:limUpp>
        <m:sSub>
          <m:e>
            <m:r>
              <m:rPr>
                <m:nor/>
                <m:sty m:val="p"/>
              </m:rPr>
              <m:t>Group</m:t>
            </m:r>
          </m:e>
          <m:sub>
            <m:r>
              <m:t>1</m:t>
            </m:r>
          </m:sub>
        </m:sSub>
        <m:limUpp>
          <m:e>
            <m:r>
              <m:rPr>
                <m:sty m:val="p"/>
              </m:rPr>
              <m:t>→</m:t>
            </m:r>
          </m:e>
          <m:lim>
            <m:r>
              <m:rPr>
                <m:nor/>
                <m:sty m:val="p"/>
              </m:rPr>
              <m:t>MemberOf</m:t>
            </m:r>
          </m:lim>
        </m:limUpp>
        <m:r>
          <m:rPr>
            <m:sty m:val="p"/>
          </m:rPr>
          <m:t>…</m:t>
        </m:r>
        <m:limUpp>
          <m:e>
            <m:r>
              <m:rPr>
                <m:sty m:val="p"/>
              </m:rPr>
              <m:t>→</m:t>
            </m:r>
          </m:e>
          <m:lim>
            <m:r>
              <m:rPr>
                <m:nor/>
                <m:sty m:val="p"/>
              </m:rPr>
              <m:t>MemberOf</m:t>
            </m:r>
          </m:lim>
        </m:limUpp>
        <m:sSub>
          <m:e>
            <m:r>
              <m:rPr>
                <m:nor/>
                <m:sty m:val="p"/>
              </m:rPr>
              <m:t>Group</m:t>
            </m:r>
          </m:e>
          <m:sub>
            <m:r>
              <m:t>k</m:t>
            </m:r>
          </m:sub>
        </m:sSub>
      </m:oMath>
      <w:r>
        <w:t xml:space="preserve">). If group relationships were maintained purely as local 1-hop edges, an</w:t>
      </w:r>
      <w:r>
        <w:t xml:space="preserve"> </w:t>
      </w:r>
      <m:oMath>
        <m:r>
          <m:t>L</m:t>
        </m:r>
        <m:r>
          <m:rPr>
            <m:sty m:val="p"/>
          </m:rPr>
          <m:t>=</m:t>
        </m:r>
        <m:r>
          <m:t>2</m:t>
        </m:r>
      </m:oMath>
      <w:r>
        <w:t xml:space="preserve"> </w:t>
      </w:r>
      <w:r>
        <w:t xml:space="preserve">layer GNN would be strictly limited to evaluating 2-hop paths, failing to detect privilege escalation for users whose enrollment rights derive from groups nested at depth</w:t>
      </w:r>
      <w:r>
        <w:t xml:space="preserve"> </w:t>
      </w:r>
      <m:oMath>
        <m:r>
          <m:t>k</m:t>
        </m:r>
        <m:r>
          <m:rPr>
            <m:sty m:val="p"/>
          </m:rPr>
          <m:t>&gt;</m:t>
        </m:r>
        <m:r>
          <m:t>1</m:t>
        </m:r>
      </m:oMath>
      <w:r>
        <w:t xml:space="preserve">.</w:t>
      </w:r>
    </w:p>
    <w:p>
      <w:pPr>
        <w:pStyle w:val="BodyText"/>
      </w:pPr>
      <w:r>
        <w:t xml:space="preserve">To address this without increasing network depth (which would induce severe over-smoothing and gradient attenuation across sparse security graphs), CertGraph pre-expands all nested group memberships via</w:t>
      </w:r>
      <w:r>
        <w:t xml:space="preserve"> </w:t>
      </w:r>
      <w:r>
        <w:rPr>
          <w:b/>
          <w:bCs/>
        </w:rPr>
        <w:t xml:space="preserve">transitive closure materialization</w:t>
      </w:r>
      <w:r>
        <w:t xml:space="preserve"> </w:t>
      </w:r>
      <w:r>
        <w:t xml:space="preserve">during graph extraction. Following the operational semantics of the Windows Security subsystem (specifically, the Local Security Authority’s evaluation of the</w:t>
      </w:r>
      <w:r>
        <w:t xml:space="preserve"> </w:t>
      </w:r>
      <w:r>
        <w:rPr>
          <w:rStyle w:val="VerbatimChar"/>
        </w:rPr>
        <w:t xml:space="preserve">tokenGroups</w:t>
      </w:r>
      <w:r>
        <w:t xml:space="preserve"> </w:t>
      </w:r>
      <w:r>
        <w:t xml:space="preserve">attribute) and production graph auditing tools (such as BloodHound), our ingestion pipeline computes the reflexive transitive closure of all</w:t>
      </w:r>
      <w:r>
        <w:t xml:space="preserve"> </w:t>
      </w:r>
      <w:r>
        <w:rPr>
          <w:rStyle w:val="VerbatimChar"/>
        </w:rPr>
        <w:t xml:space="preserve">MemberOf</w:t>
      </w:r>
      <w:r>
        <w:t xml:space="preserve"> </w:t>
      </w:r>
      <w:r>
        <w:t xml:space="preserve">relations prior to model ingestion:</w:t>
      </w:r>
    </w:p>
    <w:p>
      <w:pPr>
        <w:pStyle w:val="BodyText"/>
      </w:pPr>
      <m:oMathPara>
        <m:oMathParaPr>
          <m:jc m:val="center"/>
        </m:oMathParaPr>
        <m:oMath>
          <m:sSubSup>
            <m:e>
              <m:r>
                <m:t>E</m:t>
              </m:r>
            </m:e>
            <m:sub>
              <m:r>
                <m:rPr>
                  <m:nor/>
                  <m:sty m:val="p"/>
                </m:rPr>
                <m:t>MemberOf</m:t>
              </m:r>
            </m:sub>
            <m:sup>
              <m:r>
                <m:rPr>
                  <m:sty m:val="p"/>
                </m:rPr>
                <m:t>*</m:t>
              </m:r>
            </m:sup>
          </m:sSubSup>
          <m:r>
            <m:rPr>
              <m:sty m:val="p"/>
            </m:rPr>
            <m:t>=</m:t>
          </m:r>
          <m:r>
            <m:rPr>
              <m:sty m:val="p"/>
            </m:rPr>
            <m:t>{</m:t>
          </m:r>
          <m:r>
            <m:rPr>
              <m:sty m:val="p"/>
            </m:rPr>
            <m:t>(</m:t>
          </m:r>
          <m:r>
            <m:t>u</m:t>
          </m:r>
          <m:r>
            <m:rPr>
              <m:sty m:val="p"/>
            </m:rPr>
            <m:t>,</m:t>
          </m:r>
          <m:r>
            <m:rPr>
              <m:nor/>
              <m:sty m:val="p"/>
            </m:rPr>
            <m:t>MemberOf</m:t>
          </m:r>
          <m:r>
            <m:rPr>
              <m:sty m:val="p"/>
            </m:rPr>
            <m:t>,</m:t>
          </m:r>
          <m:r>
            <m:t>g</m:t>
          </m:r>
          <m:r>
            <m:rPr>
              <m:sty m:val="p"/>
            </m:rPr>
            <m:t>)</m:t>
          </m:r>
          <m:r>
            <m:rPr>
              <m:sty m:val="p"/>
            </m:rPr>
            <m:t>∣</m:t>
          </m:r>
          <m:r>
            <m:rPr>
              <m:sty m:val="p"/>
            </m:rPr>
            <m:t>∃</m:t>
          </m:r>
          <m:r>
            <m:rPr>
              <m:nor/>
              <m:sty m:val="p"/>
            </m:rPr>
            <m:t> path </m:t>
          </m:r>
          <m:r>
            <m:t>u</m:t>
          </m:r>
          <m:limUpp>
            <m:e>
              <m:r>
                <m:rPr>
                  <m:sty m:val="p"/>
                </m:rPr>
                <m:t>→</m:t>
              </m:r>
            </m:e>
            <m:lim>
              <m:sSup>
                <m:e>
                  <m:r>
                    <m:rPr>
                      <m:nor/>
                      <m:sty m:val="p"/>
                    </m:rPr>
                    <m:t>MemberOf</m:t>
                  </m:r>
                </m:e>
                <m:sup>
                  <m:r>
                    <m:rPr>
                      <m:sty m:val="p"/>
                    </m:rPr>
                    <m:t>+</m:t>
                  </m:r>
                </m:sup>
              </m:sSup>
            </m:lim>
          </m:limUpp>
          <m:r>
            <m:t>g</m:t>
          </m:r>
          <m:r>
            <m:rPr>
              <m:nor/>
              <m:sty m:val="p"/>
            </m:rPr>
            <m:t> in </m:t>
          </m:r>
          <m:r>
            <m:t>G</m:t>
          </m:r>
          <m:r>
            <m:rPr>
              <m:sty m:val="p"/>
            </m:rPr>
            <m:t>}</m:t>
          </m:r>
        </m:oMath>
      </m:oMathPara>
    </w:p>
    <w:p>
      <w:pPr>
        <w:pStyle w:val="FirstParagraph"/>
      </w:pPr>
      <w:r>
        <w:t xml:space="preserve">By replacing raw nested edges with their transitive closure</w:t>
      </w:r>
      <w:r>
        <w:t xml:space="preserve"> </w:t>
      </w:r>
      <m:oMath>
        <m:sSubSup>
          <m:e>
            <m:r>
              <m:t>E</m:t>
            </m:r>
          </m:e>
          <m:sub>
            <m:r>
              <m:rPr>
                <m:nor/>
                <m:sty m:val="p"/>
              </m:rPr>
              <m:t>MemberOf</m:t>
            </m:r>
          </m:sub>
          <m:sup>
            <m:r>
              <m:rPr>
                <m:sty m:val="p"/>
              </m:rPr>
              <m:t>*</m:t>
            </m:r>
          </m:sup>
        </m:sSubSup>
      </m:oMath>
      <w:r>
        <w:t xml:space="preserve">, every effective group membership is collapsed into a direct 1-hop relation between the user and all ancestor groups. Consequently,</w:t>
      </w:r>
      <w:r>
        <w:t xml:space="preserve"> </w:t>
      </w:r>
      <m:oMath>
        <m:r>
          <m:t>L</m:t>
        </m:r>
        <m:r>
          <m:rPr>
            <m:sty m:val="p"/>
          </m:rPr>
          <m:t>=</m:t>
        </m:r>
        <m:r>
          <m:t>2</m:t>
        </m:r>
      </m:oMath>
      <w:r>
        <w:t xml:space="preserve"> </w:t>
      </w:r>
      <w:r>
        <w:t xml:space="preserve">layers provide a comprehensive receptive field: Hop 1 resolves effective principal permissions and transitive group memberships, while Hop 2 captures template enrollment, issuance policy mapping, and CA publication edges. If transitive closure is omitted, path detection is strictly bounded by the network depth</w:t>
      </w:r>
      <w:r>
        <w:t xml:space="preserve"> </w:t>
      </w:r>
      <m:oMath>
        <m:r>
          <m:t>L</m:t>
        </m:r>
        <m:r>
          <m:rPr>
            <m:sty m:val="p"/>
          </m:rPr>
          <m:t>=</m:t>
        </m:r>
        <m:r>
          <m:t>2</m:t>
        </m:r>
      </m:oMath>
      <w:r>
        <w:t xml:space="preserve">.</w:t>
      </w:r>
    </w:p>
    <w:p>
      <w:pPr>
        <w:pStyle w:val="BodyText"/>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2"/>
    <w:bookmarkEnd w:id="43"/>
    <w:bookmarkStart w:id="46"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4"/>
    <w:bookmarkEnd w:id="45"/>
    <w:bookmarkStart w:id="47"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8"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6"/>
    <w:bookmarkStart w:id="49"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7"/>
    <w:bookmarkEnd w:id="48"/>
    <w:bookmarkStart w:id="50"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51" w:name="thm:representation_preservation"/>
      <w:bookmarkEnd w:id="49"/>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8"/>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8"/>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50"/>
    <w:bookmarkStart w:id="52"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39"/>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39"/>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39"/>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39"/>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51"/>
    <w:bookmarkEnd w:id="52"/>
    <w:bookmarkStart w:id="53" w:name="ch:audit"/>
    <w:p>
      <w:pPr>
        <w:pStyle w:val="Heading1"/>
        <w:pageBreakBefore/>
        <w:spacing w:before="360" w:after="240"/>
      </w:pPr>
      <w:r>
        <w:t xml:space="preserve">Forensic Audit: Unmasking Experimental Illusions in Security Machine Learning</w:t>
      </w:r>
    </w:p>
    <w:bookmarkStart w:id="54"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40"/>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40"/>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3"/>
    <w:bookmarkStart w:id="55" w:name="the-four-experimental-illusions"/>
    <w:p>
      <w:pPr>
        <w:pStyle w:val="Heading2"/>
        <w:spacing w:before="280" w:after="120"/>
      </w:pPr>
      <w:r>
        <w:t xml:space="preserve">The Four Experimental Illusions</w:t>
      </w:r>
    </w:p>
    <w:bookmarkStart w:id="56"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1"/>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1"/>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1"/>
        </w:numPr>
      </w:pPr>
      <w:r>
        <w:t xml:space="preserve">In ESC13 synthetic generation routines, the issuance policy OID was programmatically linked exclusively to group index</w:t>
      </w:r>
      <w:r>
        <w:t xml:space="preserve"> </w:t>
      </w:r>
      <m:oMath>
        <m:r>
          <m:t>0</m:t>
        </m:r>
      </m:oMath>
      <w:r>
        <w:t xml:space="preserve">.</w:t>
      </w:r>
    </w:p>
    <w:bookmarkStart w:id="57"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4"/>
    <w:bookmarkStart w:id="58"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5"/>
    <w:bookmarkEnd w:id="56"/>
    <w:bookmarkStart w:id="59"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2"/>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2"/>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7"/>
    <w:bookmarkStart w:id="60"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3"/>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3"/>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3"/>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3"/>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61" w:name="fig:feature_heatmap"/>
    <w:p xmlns:a="http://schemas.openxmlformats.org/drawingml/2006/main" xmlns:pic="http://schemas.openxmlformats.org/drawingml/2006/picture">
      <w:pPr>
        <w:pStyle w:val="CaptionedFigure"/>
        <w:keepNext/>
        <w:spacing w:before="160" w:after="80"/>
        <w:jc w:val="center"/>
      </w:pPr>
      <w:r>
        <w:drawing>
          <wp:inline>
            <wp:extent cx="6121400" cy="3272028"/>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6121400" cy="3272028"/>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8"/>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59"/>
    <w:bookmarkStart w:id="62"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60"/>
    <w:bookmarkEnd w:id="61"/>
    <w:bookmarkStart w:id="63"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4"/>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4"/>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4"/>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4"/>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4"/>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2"/>
    <w:bookmarkStart w:id="64"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3"/>
    <w:bookmarkStart w:id="65" w:name="X4a616f273a2978644eccee3b5f35228912f24d0"/>
    <w:p>
      <w:pPr>
        <w:pStyle w:val="Heading2"/>
        <w:spacing w:before="280" w:after="120"/>
      </w:pPr>
      <w:r>
        <w:t xml:space="preserve">Methodological Guidelines for Security Graph Learning</w:t>
      </w:r>
    </w:p>
    <w:p>
      <w:pPr>
        <w:pStyle w:val="FirstParagraph"/>
      </w:pPr>
      <w:r>
        <w:t xml:space="preserve">Grounding our findings in the security machine learning principles of Arp et al. </w:t>
      </w:r>
      <w:r>
        <w:t xml:space="preserve">(Arp et al. 2022)</w:t>
      </w:r>
      <w:r>
        <w:t xml:space="preserve">, we formulate five methodological guidelines for researchers applying Graph Neural Networks to cybersecurity:</w:t>
      </w:r>
    </w:p>
    <w:p>
      <w:pPr>
        <w:numPr>
          <w:ilvl w:val="0"/>
          <w:numId w:val="45"/>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5"/>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5"/>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5"/>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5"/>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4"/>
    <w:bookmarkEnd w:id="65"/>
    <w:bookmarkStart w:id="66" w:name="ch:evaluation"/>
    <w:p>
      <w:pPr>
        <w:pStyle w:val="Heading1"/>
        <w:pageBreakBefore/>
        <w:spacing w:before="360" w:after="240"/>
      </w:pPr>
      <w:r>
        <w:t xml:space="preserve">Empirical Evaluation and Benchmarks</w:t>
      </w:r>
    </w:p>
    <w:bookmarkStart w:id="67"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8"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6"/>
        </w:numPr>
      </w:pPr>
      <w:r>
        <w:rPr>
          <w:rStyle w:val="VerbatimChar"/>
        </w:rPr>
        <w:t xml:space="preserve">Safe</w:t>
      </w:r>
      <w:r>
        <w:t xml:space="preserve">: Completely secure certificate templates or published templates lacking unprivileged attack paths.</w:t>
      </w:r>
    </w:p>
    <w:p>
      <w:pPr>
        <w:numPr>
          <w:ilvl w:val="0"/>
          <w:numId w:val="46"/>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6"/>
        </w:numPr>
      </w:pPr>
      <w:r>
        <w:rPr>
          <w:rStyle w:val="VerbatimChar"/>
        </w:rPr>
        <w:t xml:space="preserve">ESC2</w:t>
      </w:r>
      <w:r>
        <w:t xml:space="preserve">: Templates configured with Any Purpose EKU or lacking EKUs, enrollable by unprivileged accounts.</w:t>
      </w:r>
    </w:p>
    <w:p>
      <w:pPr>
        <w:numPr>
          <w:ilvl w:val="0"/>
          <w:numId w:val="46"/>
        </w:numPr>
      </w:pPr>
      <w:r>
        <w:rPr>
          <w:rStyle w:val="VerbatimChar"/>
        </w:rPr>
        <w:t xml:space="preserve">ESC3</w:t>
      </w:r>
      <w:r>
        <w:t xml:space="preserve">: Templates specifying Certificate Request Agent EKU, enrollable by unprivileged principals.</w:t>
      </w:r>
    </w:p>
    <w:p>
      <w:pPr>
        <w:numPr>
          <w:ilvl w:val="0"/>
          <w:numId w:val="46"/>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6"/>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6"/>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6"/>
    <w:bookmarkStart w:id="69"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7"/>
    <w:bookmarkEnd w:id="68"/>
    <w:bookmarkStart w:id="70"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0.7396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0.1913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7.28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6.66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3.12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bl>
    <w:bookmarkStart w:id="71" w:name="fig:empirical_eval"/>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2" w:name="fig:conf_matrix"/>
          <w:p>
            <w:pPr>
              <w:pStyle w:val="CaptionedFigure"/>
              <w:jc w:val="center"/>
            </w:pPr>
            <w:r>
              <w:drawing>
                <wp:inline>
                  <wp:extent cx="3060700" cy="2701920"/>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701920"/>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69"/>
        </w:tc>
        <w:tc>
          <w:tcPr/>
          <w:bookmarkStart w:id="73" w:name="fig:gnn_family"/>
          <w:p>
            <w:pPr>
              <w:pStyle w:val="CaptionedFigure"/>
              <w:jc w:val="center"/>
            </w:pPr>
            <w:r>
              <w:drawing>
                <wp:inline>
                  <wp:extent cx="3060700" cy="1734396"/>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734396"/>
                          </a:xfrm>
                          <a:prstGeom prst="rect">
                            <a:avLst/>
                          </a:prstGeom>
                          <a:noFill/>
                          <a:ln w="9525">
                            <a:noFill/>
                            <a:headEnd/>
                            <a:tailEnd/>
                          </a:ln>
                        </pic:spPr>
                      </pic:pic>
                    </a:graphicData>
                  </a:graphic>
                </wp:inline>
              </w:drawing>
            </w:r>
          </w:p>
          <w:p>
            <w:pPr>
              <w:pStyle w:val="ImageCaption"/>
              <w:jc w:val="center"/>
            </w:pPr>
            <w:r>
              <w:t xml:space="preserve">GNN Family Comparison.</w:t>
            </w:r>
          </w:p>
          <w:bookmarkEnd w:id="70"/>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71"/>
    <w:bookmarkStart w:id="74"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5" w:name="X61fbe9256e8bfec86262d3c0f709b591e60fd9f"/>
    <w:p>
      <w:pPr>
        <w:pStyle w:val="Heading5"/>
      </w:pPr>
      <w:r>
        <w:t xml:space="preserve">Critical Analysis of In-Distribution Findings:</w:t>
      </w:r>
    </w:p>
    <w:p>
      <w:pPr>
        <w:numPr>
          <w:ilvl w:val="0"/>
          <w:numId w:val="47"/>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7"/>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7"/>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p>
      <w:pPr>
        <w:numPr>
          <w:ilvl w:val="0"/>
          <w:numId w:val="47"/>
        </w:numPr>
      </w:pPr>
      <w:r>
        <w:rPr>
          <w:b/>
          <w:bCs/>
        </w:rPr>
        <w:t xml:space="preserve">Architectural Justification: Why GNNs Over CART Trees and Graph-Augmented MLPs:</w:t>
      </w:r>
      <w:r>
        <w:t xml:space="preserve"> </w:t>
      </w:r>
      <w:r>
        <w:t xml:space="preserve">While a 7-node CART decision tree (</w:t>
      </w:r>
      <m:oMath>
        <m:r>
          <m:t>0.9928</m:t>
        </m:r>
      </m:oMath>
      <w:r>
        <w:t xml:space="preserve"> </w:t>
      </w:r>
      <w:r>
        <w:t xml:space="preserve">F1) and a Graph-Augmented MLP (</w:t>
      </w:r>
      <m:oMath>
        <m:r>
          <m:t>0.9971</m:t>
        </m:r>
      </m:oMath>
      <w:r>
        <w:t xml:space="preserve"> </w:t>
      </w:r>
      <w:r>
        <w:t xml:space="preserve">F1) achieve competitive scores on synthetic rule recovery, the heterogeneous GNN architecture is indispensable for real-world enterprise deployment for four fundamental reasons:</w:t>
      </w:r>
    </w:p>
    <w:p>
      <w:pPr>
        <w:numPr>
          <w:ilvl w:val="1"/>
          <w:numId w:val="48"/>
        </w:numPr>
      </w:pPr>
      <w:r>
        <w:rPr>
          <w:i/>
          <w:iCs/>
        </w:rPr>
        <w:t xml:space="preserve">Continuous Latent Embeddings for Downstream Reinforcement Learning:</w:t>
      </w:r>
      <w:r>
        <w:t xml:space="preserve"> </w:t>
      </w:r>
      <w:r>
        <w:t xml:space="preserve">A CART tree outputs discrete, uncalibrated leaf partitions that cannot be differentiated or embedded. In contrast, CertGraph maps each template into a dense continuous manifold</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As demonstrated in Chapter </w:t>
      </w:r>
      <w:hyperlink w:anchor="ch:game_theory">
        <w:r>
          <w:rPr>
            <w:rStyle w:val="Hyperlink"/>
          </w:rPr>
          <w:t xml:space="preserve">9</w:t>
        </w:r>
      </w:hyperlink>
      <w:r>
        <w:t xml:space="preserve">, these continuous embeddings directly serve as the state-space representation for our Stackelberg MARL defense agent (</w:t>
      </w:r>
      <m:oMath>
        <m:sSub>
          <m:e>
            <m:r>
              <m:t>π</m:t>
            </m:r>
          </m:e>
          <m:sub>
            <m:r>
              <m:t>θ</m:t>
            </m:r>
          </m:sub>
        </m:sSub>
      </m:oMath>
      <w:r>
        <w:t xml:space="preserve">) to optimize polynomial-time edge interdiction.</w:t>
      </w:r>
    </w:p>
    <w:p>
      <w:pPr>
        <w:numPr>
          <w:ilvl w:val="1"/>
          <w:numId w:val="48"/>
        </w:numPr>
      </w:pPr>
      <w:r>
        <w:rPr>
          <w:i/>
          <w:iCs/>
        </w:rPr>
        <w:t xml:space="preserve">Inductive Topology vs. Brittle Manual Feature Counts:</w:t>
      </w:r>
      <w:r>
        <w:t xml:space="preserve"> </w:t>
      </w:r>
      <w:r>
        <w:t xml:space="preserve">The Graph-Augmented MLP relies on four manually hand-crafted scalar features (e.g., incoming enroll degree, Tier-0 out-degree). If an adversary exploits subtle structural bypasses—such as intermediate organizational unit inheritance, Cross-Forest SID filtering exemptions, or complex group nesting—hand-crafted scalar features fail unless human engineers anticipate and manually program each vector. The GNN learns relational representations inductively directly from multigraph message passing.</w:t>
      </w:r>
    </w:p>
    <w:p>
      <w:pPr>
        <w:numPr>
          <w:ilvl w:val="1"/>
          <w:numId w:val="48"/>
        </w:numPr>
      </w:pPr>
      <w:r>
        <w:rPr>
          <w:i/>
          <w:iCs/>
        </w:rPr>
        <w:t xml:space="preserve">Edge-Level Attention Attribution for SOC Triage:</w:t>
      </w:r>
      <w:r>
        <w:t xml:space="preserve"> </w:t>
      </w:r>
      <w:r>
        <w:t xml:space="preserve">Decision trees only provide global attribute thresholds (e.g.,</w:t>
      </w:r>
      <w:r>
        <w:t xml:space="preserve"> </w:t>
      </w:r>
      <w:r>
        <w:rPr>
          <w:rStyle w:val="VerbatimChar"/>
        </w:rPr>
        <w:t xml:space="preserve">EnrollCount &gt; 0</w:t>
      </w:r>
      <w:r>
        <w:t xml:space="preserve">), offering zero visibility into</w:t>
      </w:r>
      <w:r>
        <w:t xml:space="preserve"> </w:t>
      </w:r>
      <w:r>
        <w:rPr>
          <w:i/>
          <w:iCs/>
        </w:rPr>
        <w:t xml:space="preserve">which</w:t>
      </w:r>
      <w:r>
        <w:t xml:space="preserve"> </w:t>
      </w:r>
      <w:r>
        <w:t xml:space="preserve">specific identity principal or group delegation enables the exploit. CertGraph’s learned relational attention coefficients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explicitly identify the authentic multi-hop authorization chain (Section </w:t>
      </w:r>
      <w:hyperlink w:anchor="sec:attention_weights">
        <w:r>
          <w:rPr>
            <w:rStyle w:val="Hyperlink"/>
          </w:rPr>
          <w:t xml:space="preserve">[sec:attention_weights]</w:t>
        </w:r>
      </w:hyperlink>
      <w:r>
        <w:t xml:space="preserve">), providing actionable forensic explanations.</w:t>
      </w:r>
    </w:p>
    <w:bookmarkEnd w:id="72"/>
    <w:bookmarkEnd w:id="73"/>
    <w:bookmarkStart w:id="76" w:name="sec:class_imbalance"/>
    <w:p>
      <w:pPr>
        <w:pStyle w:val="Heading3"/>
      </w:pPr>
      <w:r>
        <w:t xml:space="preserve">Evaluation Under Realistic Class Imbalance and Enterprise Base Rates</w:t>
      </w:r>
    </w:p>
    <w:p>
      <w:pPr>
        <w:pStyle w:val="FirstParagraph"/>
      </w:pPr>
      <w:r>
        <w:t xml:space="preserve">In production corporate directories, certificate template distributions are heavily right-skewed: the vast majority of active templates (&gt; 95%) are configured safely, while true privilege escalation vulnerabilities represent rare anomalies. Evaluating models purely under balanced cross-validation can mask calibration errors and inflated false-alarm rates.</w:t>
      </w:r>
    </w:p>
    <w:p>
      <w:pPr>
        <w:pStyle w:val="BodyText"/>
      </w:pPr>
      <w:r>
        <w:t xml:space="preserve">To rigorously benchmark CertGraph under realistic operational conditions, we synthesized an enterprise-scale</w:t>
      </w:r>
      <w:r>
        <w:t xml:space="preserve"> </w:t>
      </w:r>
      <w:r>
        <w:rPr>
          <w:b/>
          <w:bCs/>
        </w:rPr>
        <w:t xml:space="preserve">Class-Imbalanced Evaluation Benchmark</w:t>
      </w:r>
      <w:r>
        <w:t xml:space="preserve"> </w:t>
      </w:r>
      <w:r>
        <w:t xml:space="preserve">comprising</w:t>
      </w:r>
      <w:r>
        <w:t xml:space="preserve"> </w:t>
      </w:r>
      <m:oMath>
        <m:r>
          <m:t>N</m:t>
        </m:r>
        <m:r>
          <m:rPr>
            <m:sty m:val="p"/>
          </m:rPr>
          <m:t>=</m:t>
        </m:r>
        <m:r>
          <m:t>2</m:t>
        </m:r>
        <m:r>
          <m:rPr>
            <m:sty m:val="p"/>
          </m:rPr>
          <m:t>,</m:t>
        </m:r>
        <m:r>
          <m:t>000</m:t>
        </m:r>
      </m:oMath>
      <w:r>
        <w:t xml:space="preserve"> </w:t>
      </w:r>
      <w:r>
        <w:t xml:space="preserve">evaluated templates across 200 directory forests, structured with an extreme</w:t>
      </w:r>
      <w:r>
        <w:t xml:space="preserve"> </w:t>
      </w:r>
      <w:r>
        <w:rPr>
          <w:b/>
          <w:bCs/>
        </w:rPr>
        <w:t xml:space="preserve">96.0% Safe Base Rate</w:t>
      </w:r>
      <w:r>
        <w:t xml:space="preserve">:</w:t>
      </w:r>
    </w:p>
    <w:p>
      <w:pPr>
        <w:numPr>
          <w:ilvl w:val="0"/>
          <w:numId w:val="49"/>
        </w:numPr>
      </w:pPr>
      <w:r>
        <w:rPr>
          <w:b/>
          <w:bCs/>
        </w:rPr>
        <w:t xml:space="preserve">Safe Templates:</w:t>
      </w:r>
      <w:r>
        <w:t xml:space="preserve"> </w:t>
      </w:r>
      <m:oMath>
        <m:r>
          <m:t>1</m:t>
        </m:r>
        <m:r>
          <m:rPr>
            <m:sty m:val="p"/>
          </m:rPr>
          <m:t>,</m:t>
        </m:r>
        <m:r>
          <m:t>920</m:t>
        </m:r>
      </m:oMath>
      <w:r>
        <w:t xml:space="preserve"> </w:t>
      </w:r>
      <w:r>
        <w:t xml:space="preserve">benign templates (</w:t>
      </w:r>
      <m:oMath>
        <m:r>
          <m:t>96.0</m:t>
        </m:r>
        <m:r>
          <m:rPr>
            <m:sty m:val="p"/>
          </m:rPr>
          <m:t>%</m:t>
        </m:r>
      </m:oMath>
      <w:r>
        <w:t xml:space="preserve">).</w:t>
      </w:r>
    </w:p>
    <w:p>
      <w:pPr>
        <w:numPr>
          <w:ilvl w:val="0"/>
          <w:numId w:val="49"/>
        </w:numPr>
      </w:pPr>
      <w:r>
        <w:rPr>
          <w:b/>
          <w:bCs/>
        </w:rPr>
        <w:t xml:space="preserve">Vulnerable Templates:</w:t>
      </w:r>
      <w:r>
        <w:t xml:space="preserve"> </w:t>
      </w:r>
      <m:oMath>
        <m:r>
          <m:t>80</m:t>
        </m:r>
      </m:oMath>
      <w:r>
        <w:t xml:space="preserve"> </w:t>
      </w:r>
      <w:r>
        <w:t xml:space="preserve">vulnerable templates (</w:t>
      </w:r>
      <m:oMath>
        <m:r>
          <m:t>4.0</m:t>
        </m:r>
        <m:r>
          <m:rPr>
            <m:sty m:val="p"/>
          </m:rPr>
          <m:t>%</m:t>
        </m:r>
      </m:oMath>
      <w:r>
        <w:t xml:space="preserve">), distributed evenly across the 6 attack classes (</w:t>
      </w:r>
      <m:oMath>
        <m:r>
          <m:rPr>
            <m:sty m:val="p"/>
          </m:rPr>
          <m:t>≈</m:t>
        </m:r>
        <m:r>
          <m:t>13</m:t>
        </m:r>
        <m:r>
          <m:rPr>
            <m:nor/>
            <m:sty m:val="p"/>
          </m:rPr>
          <m:t>–</m:t>
        </m:r>
        <m:r>
          <m:t>14</m:t>
        </m:r>
      </m:oMath>
      <w:r>
        <w:t xml:space="preserve"> </w:t>
      </w:r>
      <w:r>
        <w:t xml:space="preserve">templates each for ESC1, ESC2, ESC3, ESC4, ESC9, and ESC13).</w:t>
      </w:r>
    </w:p>
    <w:p>
      <w:pPr>
        <w:pStyle w:val="FirstParagraph"/>
      </w:pPr>
      <w:r>
        <w:t xml:space="preserve">Under heavy class imbalance, traditional Accuracy is dominated by the majority class and becomes uninformative. We therefore report Precision-Recall Area Under the Curve (</w:t>
      </w:r>
      <w:r>
        <w:rPr>
          <w:b/>
          <w:bCs/>
        </w:rPr>
        <w:t xml:space="preserve">PR-AUC</w:t>
      </w:r>
      <w:r>
        <w:t xml:space="preserve">), Macro-F1, Precision, Recall,</w:t>
      </w:r>
      <w:r>
        <w:t xml:space="preserve"> </w:t>
      </w:r>
      <w:r>
        <w:rPr>
          <w:b/>
          <w:bCs/>
        </w:rPr>
        <w:t xml:space="preserve">Expected Calibration Error (ECE)</w:t>
      </w:r>
      <w:r>
        <w:t xml:space="preserve"> </w:t>
      </w:r>
      <w:r>
        <w:t xml:space="preserve">across 10 probability bins, and the</w:t>
      </w:r>
      <w:r>
        <w:t xml:space="preserve"> </w:t>
      </w:r>
      <w:r>
        <w:rPr>
          <w:b/>
          <w:bCs/>
        </w:rPr>
        <w:t xml:space="preserve">Brier Score</w:t>
      </w:r>
      <w:r>
        <w:t xml:space="preserve"> </w:t>
      </w:r>
      <w:r>
        <w:t xml:space="preserve">(</w:t>
      </w:r>
      <m:oMath>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i</m:t>
            </m:r>
            <m:r>
              <m:t>c</m:t>
            </m:r>
          </m:sub>
        </m:sSub>
        <m:r>
          <m:rPr>
            <m:sty m:val="p"/>
          </m:rPr>
          <m:t>−</m:t>
        </m:r>
        <m:sSub>
          <m:e>
            <m:r>
              <m:t>y</m:t>
            </m:r>
          </m:e>
          <m:sub>
            <m:r>
              <m:t>i</m:t>
            </m:r>
            <m:r>
              <m:t>c</m:t>
            </m:r>
          </m:sub>
        </m:sSub>
        <m:sSup>
          <m:e>
            <m:r>
              <m:rPr>
                <m:sty m:val="p"/>
              </m:rPr>
              <m:t>)</m:t>
            </m:r>
          </m:e>
          <m:sup>
            <m:r>
              <m:t>2</m:t>
            </m:r>
          </m:sup>
        </m:sSup>
      </m:oMath>
      <w:r>
        <w:t xml:space="preserve">):</w:t>
      </w:r>
    </w:p>
    <w:p>
      <w:pPr>
        <w:keepNext/>
        <w:spacing w:before="280" w:after="120"/>
        <w:jc w:val="center"/>
      </w:pPr>
      <w:r>
        <w:rPr>
          <w:rFonts w:ascii="Times New Roman" w:hAnsi="Times New Roman"/>
          <w:b/>
          <w:sz w:val="20"/>
        </w:rPr>
        <w:t xml:space="preserve">Table 7: </w:t>
      </w:r>
      <w:r>
        <w:rPr>
          <w:rFonts w:ascii="Times New Roman" w:hAnsi="Times New Roman"/>
          <w:sz w:val="20"/>
        </w:rPr>
        <w:t>Model Performance and Calibration Under Realistic Enterprise Class Imbalance (96.0% Safe Base Rate, $N = 2,</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2961"/>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PR-AUC</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ECE</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Brier Score</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0.9941</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0.9958</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0.0142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0.0031</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0.9854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0.9782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0.9887</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0.0385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0.0118</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0.9520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0.9412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0.9630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0.0512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0.0195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0.8984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0.8870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0.0754</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0.8240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0.8310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0.0915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0.0620</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0.7985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0.7850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0.7620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0.1140</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0.0785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0.7250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0.7180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0.6840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0.7560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0.1120</w:t>
            </w:r>
          </w:p>
        </w:tc>
      </w:tr>
    </w:tbl>
    <w:p>
      <w:pPr>
        <w:pStyle w:val="BodyText"/>
      </w:pPr>
      <w:r>
        <w:t xml:space="preserve">As shown in Table </w:t>
      </w:r>
      <w:hyperlink w:anchor="tab:imbalanced_results">
        <w:r>
          <w:rPr>
            <w:rStyle w:val="Hyperlink"/>
          </w:rPr>
          <w:t xml:space="preserve">[tab:imbalanced_results]</w:t>
        </w:r>
      </w:hyperlink>
      <w:r>
        <w:t xml:space="preserve">, CertGraph maintains remarkable stability under extreme base-rate skew, achieving</w:t>
      </w:r>
      <w:r>
        <w:t xml:space="preserve"> </w:t>
      </w:r>
      <m:oMath>
        <m:r>
          <m:rPr>
            <m:nor/>
            <m:sty m:val="p"/>
          </m:rPr>
          <m:t>PR-AUC</m:t>
        </m:r>
        <m:r>
          <m:rPr>
            <m:sty m:val="p"/>
          </m:rPr>
          <m:t>=</m:t>
        </m:r>
        <m:r>
          <m:t>0.9982</m:t>
        </m:r>
      </m:oMath>
      <w:r>
        <w:t xml:space="preserve"> </w:t>
      </w:r>
      <w:r>
        <w:t xml:space="preserve">and</w:t>
      </w:r>
      <w:r>
        <w:t xml:space="preserve"> </w:t>
      </w:r>
      <m:oMath>
        <m:r>
          <m:rPr>
            <m:nor/>
            <m:sty m:val="p"/>
          </m:rPr>
          <m:t>Macro-F1</m:t>
        </m:r>
        <m:r>
          <m:rPr>
            <m:sty m:val="p"/>
          </m:rPr>
          <m:t>=</m:t>
        </m:r>
        <m:r>
          <m:t>0.9941</m:t>
        </m:r>
      </m:oMath>
      <w:r>
        <w:t xml:space="preserve">. Crucially, CertGraph achieves an Expected Calibration Error of only</w:t>
      </w:r>
      <w:r>
        <w:t xml:space="preserve"> </w:t>
      </w:r>
      <m:oMath>
        <m:r>
          <m:rPr>
            <m:sty m:val="b"/>
          </m:rPr>
          <m:t>0.0142</m:t>
        </m:r>
      </m:oMath>
      <w:r>
        <w:t xml:space="preserve"> </w:t>
      </w:r>
      <w:r>
        <w:t xml:space="preserve">and a Brier Score of</w:t>
      </w:r>
      <w:r>
        <w:t xml:space="preserve"> </w:t>
      </w:r>
      <m:oMath>
        <m:r>
          <m:rPr>
            <m:sty m:val="b"/>
          </m:rPr>
          <m:t>0.0031</m:t>
        </m:r>
      </m:oMath>
      <w:r>
        <w:t xml:space="preserve">, confirming that the predicted Softmax probabilities correspond directly to true empirical exploitability likelihoods. In sharp contrast, flat feature models suffer significant calibration degradation (</w:t>
      </w:r>
      <m:oMath>
        <m:r>
          <m:rPr>
            <m:nor/>
            <m:sty m:val="p"/>
          </m:rPr>
          <m:t>ECE</m:t>
        </m:r>
        <m:r>
          <m:rPr>
            <m:sty m:val="p"/>
          </m:rPr>
          <m:t>&gt;</m:t>
        </m:r>
        <m:r>
          <m:t>0.09</m:t>
        </m:r>
      </m:oMath>
      <w:r>
        <w:t xml:space="preserve">, Precision dropping to</w:t>
      </w:r>
      <w:r>
        <w:t xml:space="preserve"> </w:t>
      </w:r>
      <m:oMath>
        <m:r>
          <m:t>0.7950</m:t>
        </m:r>
      </m:oMath>
      <w:r>
        <w:t xml:space="preserve">), generating frequent false alarms that overwhelm security operations teams when benign samples heavily dominate the prior.</w:t>
      </w:r>
    </w:p>
    <w:bookmarkEnd w:id="74"/>
    <w:bookmarkEnd w:id="75"/>
    <w:bookmarkStart w:id="77"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8: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0.5415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6.61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bmp &lt; 10^-5</w:t>
            </w:r>
          </w:p>
        </w:tc>
      </w:tr>
    </w:tbl>
    <w:bookmarkStart w:id="78" w:name="fig:ablation_fig"/>
    <w:p xmlns:a="http://schemas.openxmlformats.org/drawingml/2006/main" xmlns:pic="http://schemas.openxmlformats.org/drawingml/2006/picture">
      <w:pPr>
        <w:pStyle w:val="CaptionedFigure"/>
        <w:keepNext/>
        <w:spacing w:before="160" w:after="80"/>
        <w:jc w:val="center"/>
      </w:pPr>
      <w:r>
        <w:drawing>
          <wp:inline>
            <wp:extent cx="5631688" cy="280426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5631688" cy="280426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6"/>
    <w:bookmarkStart w:id="79"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7"/>
    <w:bookmarkEnd w:id="78"/>
    <w:bookmarkStart w:id="80"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50"/>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50"/>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9: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81" w:name="fig:hn_fig"/>
    <w:p xmlns:a="http://schemas.openxmlformats.org/drawingml/2006/main" xmlns:pic="http://schemas.openxmlformats.org/drawingml/2006/picture">
      <w:pPr>
        <w:pStyle w:val="CaptionedFigure"/>
        <w:keepNext/>
        <w:spacing w:before="160" w:after="80"/>
        <w:jc w:val="center"/>
      </w:pPr>
      <w:r>
        <w:drawing>
          <wp:inline>
            <wp:extent cx="5631688" cy="2781002"/>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5631688" cy="2781002"/>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79"/>
    <w:bookmarkStart w:id="82"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51"/>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51"/>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51"/>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(Arp et al., 2022 </w:t>
      </w:r>
      <w:r>
        <w:t xml:space="preserve">(Arp et al. 2022)</w:t>
      </w:r>
      <w:r>
        <w:t xml:space="preserve">; Geirhos et al., 2020 </w:t>
      </w:r>
      <w:r>
        <w:t xml:space="preserve">(Geirhos et al. 2020)</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51"/>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w:t>
      </w:r>
      <w:r>
        <w:t xml:space="preserve"> </w:t>
      </w:r>
      <w:r>
        <w:rPr>
          <w:b/>
          <w:bCs/>
        </w:rPr>
        <w:t xml:space="preserve">Two-Tier Neuro-Symbolic Hybrid Architecture</w:t>
      </w:r>
      <w:r>
        <w:t xml:space="preserve">, where fast neural screening is verified by targeted symbolic path deduction.</w:t>
      </w:r>
    </w:p>
    <w:bookmarkEnd w:id="80"/>
    <w:bookmarkEnd w:id="81"/>
    <w:bookmarkStart w:id="83" w:name="Xab1081d302ad83a5ac4cf35b9f8fcdf1856f512"/>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4" w:name="fig:attention_exp"/>
    <w:p xmlns:a="http://schemas.openxmlformats.org/drawingml/2006/main" xmlns:pic="http://schemas.openxmlformats.org/drawingml/2006/picture">
      <w:pPr>
        <w:pStyle w:val="CaptionedFigure"/>
        <w:keepNext/>
        <w:spacing w:before="160" w:after="80"/>
        <w:jc w:val="center"/>
      </w:pPr>
      <w:r>
        <w:drawing>
          <wp:inline>
            <wp:extent cx="5815330" cy="2672226"/>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5815330" cy="2672226"/>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82"/>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52"/>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52"/>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52"/>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3"/>
    <w:bookmarkEnd w:id="84"/>
    <w:bookmarkStart w:id="85" w:name="ch:case_study"/>
    <w:p>
      <w:pPr>
        <w:pStyle w:val="Heading1"/>
        <w:pageBreakBefore/>
        <w:spacing w:before="360" w:after="240"/>
      </w:pPr>
      <w:r>
        <w:t xml:space="preserve">Real-World Active Directory Case Studies: GOAD and Community Benchmarks</w:t>
      </w:r>
    </w:p>
    <w:bookmarkStart w:id="86"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3"/>
        </w:numPr>
      </w:pPr>
      <w:r>
        <w:t xml:space="preserve">Multi-forest trust topologies with complex Kerberos referral tickets and SID filtering boundaries.</w:t>
      </w:r>
    </w:p>
    <w:p>
      <w:pPr>
        <w:numPr>
          <w:ilvl w:val="0"/>
          <w:numId w:val="53"/>
        </w:numPr>
      </w:pPr>
      <w:r>
        <w:t xml:space="preserve">Highly nested security group hierarchies created over decades of administrative churn.</w:t>
      </w:r>
    </w:p>
    <w:p>
      <w:pPr>
        <w:numPr>
          <w:ilvl w:val="0"/>
          <w:numId w:val="53"/>
        </w:numPr>
      </w:pPr>
      <w:r>
        <w:t xml:space="preserve">Legacy access control entries (ACEs) inheriting permissions across deep Organizational Unit (OU) trees.</w:t>
      </w:r>
    </w:p>
    <w:p>
      <w:pPr>
        <w:numPr>
          <w:ilvl w:val="0"/>
          <w:numId w:val="53"/>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5"/>
    <w:bookmarkStart w:id="87"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4"/>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4"/>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4"/>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8" w:name="fig:goad_topology"/>
    <w:p xmlns:a="http://schemas.openxmlformats.org/drawingml/2006/main" xmlns:pic="http://schemas.openxmlformats.org/drawingml/2006/picture">
      <w:pPr>
        <w:pStyle w:val="CaptionedFigure"/>
        <w:keepNext/>
        <w:spacing w:before="160" w:after="80"/>
        <w:jc w:val="center"/>
      </w:pPr>
      <w:r>
        <w:drawing>
          <wp:inline>
            <wp:extent cx="6121400" cy="3123313"/>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6121400" cy="3123313"/>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6"/>
    <w:bookmarkEnd w:id="87"/>
    <w:bookmarkStart w:id="89"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90"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5"/>
        </w:numPr>
      </w:pPr>
      <w:r>
        <w:t xml:space="preserve">Security Principal metadata (Users, Computers, Groups, CAs, Templates).</w:t>
      </w:r>
    </w:p>
    <w:p>
      <w:pPr>
        <w:numPr>
          <w:ilvl w:val="0"/>
          <w:numId w:val="55"/>
        </w:numPr>
      </w:pPr>
      <w:r>
        <w:t xml:space="preserve">Group membership nesting hierarchies (</w:t>
      </w:r>
      <w:r>
        <w:rPr>
          <w:rStyle w:val="VerbatimChar"/>
        </w:rPr>
        <w:t xml:space="preserve">MemberOf</w:t>
      </w:r>
      <w:r>
        <w:t xml:space="preserve">).</w:t>
      </w:r>
    </w:p>
    <w:p>
      <w:pPr>
        <w:numPr>
          <w:ilvl w:val="0"/>
          <w:numId w:val="55"/>
        </w:numPr>
      </w:pPr>
      <w:r>
        <w:t xml:space="preserve">Active user logon sessions via NetSessionEnum and Remote Registry APIs.</w:t>
      </w:r>
    </w:p>
    <w:p>
      <w:pPr>
        <w:numPr>
          <w:ilvl w:val="0"/>
          <w:numId w:val="55"/>
        </w:numPr>
      </w:pPr>
      <w:r>
        <w:t xml:space="preserve">Full Discretionary Access Control Lists (DACLs) from directory security descriptors.</w:t>
      </w:r>
    </w:p>
    <w:p>
      <w:pPr>
        <w:numPr>
          <w:ilvl w:val="0"/>
          <w:numId w:val="55"/>
        </w:numPr>
      </w:pPr>
      <w:r>
        <w:t xml:space="preserve">Certificate template attributes and Enterprise CA enrollment publication lists.</w:t>
      </w:r>
    </w:p>
    <w:bookmarkEnd w:id="88"/>
    <w:bookmarkStart w:id="91"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6"/>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6"/>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6"/>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6"/>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89"/>
    <w:bookmarkEnd w:id="90"/>
    <w:bookmarkStart w:id="92"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10: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3" w:name="detailed-case-study-analysis"/>
    <w:p>
      <w:pPr>
        <w:pStyle w:val="Heading3"/>
      </w:pPr>
      <w:r>
        <w:t xml:space="preserve">Detailed Case Study Analysis</w:t>
      </w:r>
    </w:p>
    <w:bookmarkStart w:id="94"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7"/>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7"/>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91"/>
    <w:bookmarkStart w:id="95"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8"/>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8"/>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8"/>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6" w:name="fig:goad_paths"/>
    <w:p xmlns:a="http://schemas.openxmlformats.org/drawingml/2006/main" xmlns:pic="http://schemas.openxmlformats.org/drawingml/2006/picture">
      <w:pPr>
        <w:pStyle w:val="CaptionedFigure"/>
        <w:keepNext/>
        <w:spacing w:before="160" w:after="80"/>
        <w:jc w:val="center"/>
      </w:pPr>
      <w:r>
        <w:drawing>
          <wp:inline>
            <wp:extent cx="5631688" cy="3838426"/>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631688" cy="3838426"/>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92"/>
    <w:bookmarkEnd w:id="93"/>
    <w:bookmarkEnd w:id="94"/>
    <w:bookmarkEnd w:id="95"/>
    <w:bookmarkStart w:id="97"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59"/>
        </w:numPr>
      </w:pPr>
      <w:r>
        <w:rPr>
          <w:b/>
          <w:bCs/>
        </w:rPr>
        <w:t xml:space="preserve">Collection Baseline (T1):</w:t>
      </w:r>
      <w:r>
        <w:t xml:space="preserve"> </w:t>
      </w:r>
      <w:r>
        <w:t xml:space="preserve">June 15, 2026.</w:t>
      </w:r>
    </w:p>
    <w:p>
      <w:pPr>
        <w:numPr>
          <w:ilvl w:val="0"/>
          <w:numId w:val="59"/>
        </w:numPr>
      </w:pPr>
      <w:r>
        <w:rPr>
          <w:b/>
          <w:bCs/>
        </w:rPr>
        <w:t xml:space="preserve">Follow-up Snapshot (T2):</w:t>
      </w:r>
      <w:r>
        <w:t xml:space="preserve"> </w:t>
      </w:r>
      <w:r>
        <w:t xml:space="preserve">July 2, 2026 (17 days later, following intermediate red-team simulation exercises).</w:t>
      </w:r>
    </w:p>
    <w:p>
      <w:pPr>
        <w:numPr>
          <w:ilvl w:val="0"/>
          <w:numId w:val="59"/>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60"/>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8"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6"/>
    <w:bookmarkEnd w:id="97"/>
    <w:bookmarkStart w:id="99"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11: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8"/>
    <w:bookmarkEnd w:id="99"/>
    <w:bookmarkStart w:id="100" w:name="ch:robustness"/>
    <w:p>
      <w:pPr>
        <w:pStyle w:val="Heading1"/>
        <w:pageBreakBefore/>
        <w:spacing w:before="360" w:after="240"/>
      </w:pPr>
      <w:r>
        <w:t xml:space="preserve">Domain Generalization, Robustness, and Scalability</w:t>
      </w:r>
    </w:p>
    <w:bookmarkStart w:id="101"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61"/>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61"/>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61"/>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61"/>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100"/>
    <w:bookmarkStart w:id="102"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3"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62"/>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62"/>
        </w:numPr>
      </w:pPr>
      <w:r>
        <w:rPr>
          <w:b/>
          <w:bCs/>
        </w:rPr>
        <w:t xml:space="preserve">Tier 1 (Management Plane):</w:t>
      </w:r>
      <w:r>
        <w:t xml:space="preserve"> </w:t>
      </w:r>
      <w:r>
        <w:t xml:space="preserve">Enterprise servers, business-critical databases, line-of-business applications, and cloud proxy hosts.</w:t>
      </w:r>
    </w:p>
    <w:p>
      <w:pPr>
        <w:numPr>
          <w:ilvl w:val="0"/>
          <w:numId w:val="62"/>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4"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3"/>
        </w:numPr>
      </w:pPr>
      <w:r>
        <w:rPr>
          <w:b/>
          <w:bCs/>
        </w:rPr>
        <w:t xml:space="preserve">Enterprise CAs</w:t>
      </w:r>
      <w:r>
        <w:t xml:space="preserve"> </w:t>
      </w:r>
      <w:r>
        <w:t xml:space="preserve">were assigned strictly to Tier 0, linking to root Domain Controllers via RPC enrollment endpoints.</w:t>
      </w:r>
    </w:p>
    <w:p>
      <w:pPr>
        <w:numPr>
          <w:ilvl w:val="0"/>
          <w:numId w:val="63"/>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3"/>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5" w:name="fig:tool_comp"/>
    <w:p xmlns:a="http://schemas.openxmlformats.org/drawingml/2006/main" xmlns:pic="http://schemas.openxmlformats.org/drawingml/2006/picture">
      <w:pPr>
        <w:pStyle w:val="CaptionedFigure"/>
        <w:keepNext/>
        <w:spacing w:before="160" w:after="80"/>
        <w:jc w:val="center"/>
      </w:pPr>
      <w:r>
        <w:drawing>
          <wp:inline>
            <wp:extent cx="5631688" cy="2829681"/>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5631688" cy="2829681"/>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101"/>
    <w:bookmarkEnd w:id="102"/>
    <w:bookmarkEnd w:id="103"/>
    <w:bookmarkStart w:id="106"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12: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7"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4"/>
    <w:bookmarkEnd w:id="105"/>
    <w:bookmarkEnd w:id="106"/>
    <w:bookmarkStart w:id="108"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We subjected CertGraph to systematic perturbation stress tests evaluating edge deletions, configuration feature noise, and sample efficiency.</w:t>
      </w:r>
    </w:p>
    <w:bookmarkStart w:id="109" w:name="fig:robustness_fig"/>
    <w:p xmlns:a="http://schemas.openxmlformats.org/drawingml/2006/main" xmlns:pic="http://schemas.openxmlformats.org/drawingml/2006/picture">
      <w:pPr>
        <w:pStyle w:val="CaptionedFigure"/>
        <w:keepNext/>
        <w:spacing w:before="160" w:after="80"/>
        <w:jc w:val="center"/>
      </w:pPr>
      <w:r>
        <w:drawing>
          <wp:inline>
            <wp:extent cx="5203190" cy="4410920"/>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4410920"/>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7"/>
    <w:bookmarkStart w:id="110"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13: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4"/>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4"/>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4"/>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8"/>
    <w:bookmarkStart w:id="111"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5"/>
        </w:numPr>
      </w:pPr>
      <m:oMath>
        <m:r>
          <m:t>0</m:t>
        </m:r>
        <m:r>
          <m:rPr>
            <m:sty m:val="p"/>
          </m:rPr>
          <m:t>%</m:t>
        </m:r>
      </m:oMath>
      <w:r>
        <w:t xml:space="preserve"> </w:t>
      </w:r>
      <w:r>
        <w:t xml:space="preserve">noise: Macro-F1 =</w:t>
      </w:r>
      <w:r>
        <w:t xml:space="preserve"> </w:t>
      </w:r>
      <m:oMath>
        <m:r>
          <m:rPr>
            <m:sty m:val="b"/>
          </m:rPr>
          <m:t>1.0000</m:t>
        </m:r>
      </m:oMath>
    </w:p>
    <w:p>
      <w:pPr>
        <w:numPr>
          <w:ilvl w:val="0"/>
          <w:numId w:val="65"/>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5"/>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5"/>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5"/>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12"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6"/>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6"/>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6"/>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09"/>
    <w:bookmarkEnd w:id="110"/>
    <w:bookmarkStart w:id="113"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7"/>
        </w:numPr>
      </w:pPr>
      <w:r>
        <w:t xml:space="preserve">20 domains: Macro-F1 =</w:t>
      </w:r>
      <w:r>
        <w:t xml:space="preserve"> </w:t>
      </w:r>
      <m:oMath>
        <m:r>
          <m:rPr>
            <m:sty m:val="b"/>
          </m:rPr>
          <m:t>0.8415</m:t>
        </m:r>
      </m:oMath>
    </w:p>
    <w:p>
      <w:pPr>
        <w:numPr>
          <w:ilvl w:val="0"/>
          <w:numId w:val="67"/>
        </w:numPr>
      </w:pPr>
      <w:r>
        <w:t xml:space="preserve">40 domains: Macro-F1 =</w:t>
      </w:r>
      <w:r>
        <w:t xml:space="preserve"> </w:t>
      </w:r>
      <m:oMath>
        <m:r>
          <m:rPr>
            <m:sty m:val="b"/>
          </m:rPr>
          <m:t>0.9274</m:t>
        </m:r>
      </m:oMath>
    </w:p>
    <w:p>
      <w:pPr>
        <w:numPr>
          <w:ilvl w:val="0"/>
          <w:numId w:val="67"/>
        </w:numPr>
      </w:pPr>
      <w:r>
        <w:t xml:space="preserve">80 domains: Macro-F1 =</w:t>
      </w:r>
      <w:r>
        <w:t xml:space="preserve"> </w:t>
      </w:r>
      <m:oMath>
        <m:r>
          <m:rPr>
            <m:sty m:val="b"/>
          </m:rPr>
          <m:t>0.9847</m:t>
        </m:r>
      </m:oMath>
    </w:p>
    <w:p>
      <w:pPr>
        <w:numPr>
          <w:ilvl w:val="0"/>
          <w:numId w:val="67"/>
        </w:numPr>
      </w:pPr>
      <w:r>
        <w:t xml:space="preserve">160 domains: Macro-F1 =</w:t>
      </w:r>
      <w:r>
        <w:t xml:space="preserve"> </w:t>
      </w:r>
      <m:oMath>
        <m:r>
          <m:rPr>
            <m:sty m:val="b"/>
          </m:rPr>
          <m:t>0.9899</m:t>
        </m:r>
      </m:oMath>
    </w:p>
    <w:p>
      <w:pPr>
        <w:numPr>
          <w:ilvl w:val="0"/>
          <w:numId w:val="67"/>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11"/>
    <w:bookmarkEnd w:id="112"/>
    <w:bookmarkStart w:id="114"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5" w:name="fig:scalability_fig"/>
    <w:p xmlns:a="http://schemas.openxmlformats.org/drawingml/2006/main" xmlns:pic="http://schemas.openxmlformats.org/drawingml/2006/picture">
      <w:pPr>
        <w:pStyle w:val="CaptionedFigure"/>
        <w:keepNext/>
        <w:spacing w:before="160" w:after="80"/>
        <w:jc w:val="center"/>
      </w:pPr>
      <w:r>
        <w:drawing>
          <wp:inline>
            <wp:extent cx="5203190" cy="444253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444253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3"/>
    <w:p>
      <w:pPr>
        <w:keepNext/>
        <w:spacing w:before="280" w:after="120"/>
        <w:jc w:val="center"/>
      </w:pPr>
      <w:r>
        <w:rPr>
          <w:rFonts w:ascii="Times New Roman" w:hAnsi="Times New Roman"/>
          <w:b/>
          <w:sz w:val="20"/>
        </w:rPr>
        <w:t xml:space="preserve">Table 14: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6" w:name="X2184051f4becef771fc66ff3701e2b7334b72ac"/>
    <w:p>
      <w:pPr>
        <w:pStyle w:val="Heading3"/>
      </w:pPr>
      <w:r>
        <w:t xml:space="preserve">Scalability Insights and Empirical Runtime Profiling</w:t>
      </w:r>
    </w:p>
    <w:bookmarkStart w:id="117"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4"/>
    <w:bookmarkStart w:id="118"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5"/>
    <w:bookmarkEnd w:id="116"/>
    <w:bookmarkStart w:id="119"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8"/>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8"/>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7"/>
    <w:bookmarkEnd w:id="118"/>
    <w:bookmarkEnd w:id="119"/>
    <w:bookmarkStart w:id="120" w:name="ch:neuro_symbolic"/>
    <w:p>
      <w:pPr>
        <w:pStyle w:val="Heading1"/>
        <w:pageBreakBefore/>
        <w:spacing w:before="360" w:after="240"/>
      </w:pPr>
      <w:r>
        <w:t xml:space="preserve">The Neuro-Symbolic Paradigm: Bridging Statistical GNNs and Symbolic Oracles</w:t>
      </w:r>
    </w:p>
    <w:bookmarkStart w:id="121"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69"/>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69"/>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22"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(Geirhos et al. 2020)</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20"/>
    <w:bookmarkEnd w:id="121"/>
    <w:bookmarkStart w:id="123"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15: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70"/>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70"/>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22"/>
    <w:bookmarkStart w:id="124"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3"/>
    <w:bookmarkStart w:id="125"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6" w:name="fig:neuro_pipeline"/>
    <w:p xmlns:a="http://schemas.openxmlformats.org/drawingml/2006/main" xmlns:pic="http://schemas.openxmlformats.org/drawingml/2006/picture">
      <w:pPr>
        <w:pStyle w:val="CaptionedFigure"/>
        <w:keepNext/>
        <w:spacing w:before="160" w:after="80"/>
        <w:jc w:val="center"/>
      </w:pPr>
      <w:r>
        <w:drawing>
          <wp:inline>
            <wp:extent cx="6121400" cy="3120281"/>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6121400" cy="3120281"/>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4"/>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7"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5"/>
    <w:bookmarkStart w:id="128"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71"/>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71"/>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29"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6"/>
    <w:bookmarkEnd w:id="127"/>
    <w:bookmarkStart w:id="130"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16: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72"/>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72"/>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72"/>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8"/>
    <w:bookmarkEnd w:id="129"/>
    <w:bookmarkStart w:id="131"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30"/>
    <w:bookmarkStart w:id="132"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31"/>
    <w:bookmarkStart w:id="133"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3"/>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3"/>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3"/>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3"/>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32"/>
    <w:bookmarkEnd w:id="133"/>
    <w:bookmarkStart w:id="134" w:name="ch:game_theory"/>
    <w:p>
      <w:pPr>
        <w:pStyle w:val="Heading1"/>
        <w:pageBreakBefore/>
        <w:spacing w:before="360" w:after="240"/>
      </w:pPr>
      <w:r>
        <w:t xml:space="preserve">Game-Theoretic Autonomous Defense and NP-Hardness of Edge-Severing</w:t>
      </w:r>
    </w:p>
    <w:bookmarkStart w:id="135"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4"/>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4"/>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4"/>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4"/>
    <w:bookmarkStart w:id="136"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7"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5"/>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5"/>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5"/>
    <w:bookmarkStart w:id="138"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6"/>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6"/>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6"/>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While the raw operational disruption cost is linear in discrete edge indicators, this quadratic term ensures strict concavity of the continuous relaxation objective with respect to the defender’s mixed action</w:t>
      </w:r>
      <w:r>
        <w:t xml:space="preserve"> </w:t>
      </w:r>
      <m:oMath>
        <m:sSub>
          <m:e>
            <m:r>
              <m:t>p</m:t>
            </m:r>
          </m:e>
          <m:sub>
            <m:r>
              <m:t>D</m:t>
            </m:r>
          </m:sub>
        </m:sSub>
      </m:oMath>
      <w:r>
        <w:t xml:space="preserve">, guaranteeing a unique, Lipschitz-continuous best response.</w:t>
      </w:r>
    </w:p>
    <w:p>
      <w:pPr>
        <w:numPr>
          <w:ilvl w:val="0"/>
          <w:numId w:val="76"/>
        </w:numPr>
      </w:pPr>
      <m:oMath>
        <m:r>
          <m:t>β</m:t>
        </m:r>
        <m:r>
          <m:rPr>
            <m:sty m:val="p"/>
          </m:rPr>
          <m:t>≫</m:t>
        </m:r>
        <m:r>
          <m:t>1</m:t>
        </m:r>
      </m:oMath>
      <w:r>
        <w:t xml:space="preserve"> </w:t>
      </w:r>
      <w:r>
        <w:t xml:space="preserve">is an operational penalty applied for each forbidden compromise pair that remains reachable.</w:t>
      </w:r>
    </w:p>
    <w:p>
      <w:pPr>
        <w:numPr>
          <w:ilvl w:val="0"/>
          <w:numId w:val="76"/>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w:t>
      </w:r>
      <w:r>
        <w:t xml:space="preserve">(Kiekintveld et al. 2009; Guo et al. 2023)</w:t>
      </w:r>
      <w:r>
        <w:t xml:space="preserve">.</w:t>
      </w:r>
    </w:p>
    <w:bookmarkEnd w:id="136"/>
    <w:bookmarkEnd w:id="137"/>
    <w:bookmarkStart w:id="139"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40" w:name="thm:nphardness"/>
      <w:bookmarkEnd w:id="138"/>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39"/>
    <w:bookmarkStart w:id="141"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42"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the algorithm achieves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approximation ratio relative to the optimal cut </w:t>
      </w:r>
      <w:r>
        <w:t xml:space="preserve">(Garg et al. 1994; Guo et al. 2023)</w:t>
      </w:r>
      <w:r>
        <w:t xml:space="preserve">, executing in polynomial time</w:t>
      </w:r>
      <w:r>
        <w:t xml:space="preserve">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w:t>
      </w:r>
    </w:p>
    <w:bookmarkEnd w:id="140"/>
    <w:bookmarkEnd w:id="141"/>
    <w:bookmarkStart w:id="143"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4"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42"/>
    <w:bookmarkStart w:id="145" w:name="Xb08b48c8e200d00e29f3ecb1724ce853c35db7b"/>
    <w:p>
      <w:pPr>
        <w:pStyle w:val="Heading3"/>
      </w:pPr>
      <w:r>
        <w:t xml:space="preserve">Continuous Limit and Stackelberg Equilibrium Convergence</w:t>
      </w:r>
    </w:p>
    <w:p>
      <w:pPr>
        <w:pStyle w:val="FirstParagraph"/>
      </w:pPr>
      <w:r>
        <w:t xml:space="preserve">In general multi-agent games, simultaneous joint gradient updates (</w:t>
      </w:r>
      <m:oMath>
        <m:acc>
          <m:accPr>
            <m:chr m:val="̇"/>
          </m:accPr>
          <m:e>
            <m:r>
              <m:t>θ</m:t>
            </m:r>
          </m:e>
        </m:acc>
        <m:r>
          <m:rPr>
            <m:sty m:val="p"/>
          </m:rPr>
          <m:t>=</m:t>
        </m:r>
        <m:sSub>
          <m:e>
            <m:r>
              <m:rPr>
                <m:sty m:val="p"/>
              </m:rPr>
              <m:t>∇</m:t>
            </m:r>
          </m:e>
          <m:sub>
            <m:r>
              <m:t>θ</m:t>
            </m:r>
          </m:sub>
        </m:sSub>
        <m:sSub>
          <m:e>
            <m:r>
              <m:t>U</m:t>
            </m:r>
          </m:e>
          <m:sub>
            <m:r>
              <m:t>D</m:t>
            </m:r>
          </m:sub>
        </m:sSub>
        <m:r>
          <m:rPr>
            <m:sty m:val="p"/>
          </m:rPr>
          <m:t>,</m:t>
        </m:r>
        <m:acc>
          <m:accPr>
            <m:chr m:val="̇"/>
          </m:accPr>
          <m:e>
            <m:r>
              <m:t>ϕ</m:t>
            </m:r>
          </m:e>
        </m:acc>
        <m:r>
          <m:rPr>
            <m:sty m:val="p"/>
          </m:rPr>
          <m:t>=</m:t>
        </m:r>
        <m:sSub>
          <m:e>
            <m:r>
              <m:rPr>
                <m:sty m:val="p"/>
              </m:rPr>
              <m:t>∇</m:t>
            </m:r>
          </m:e>
          <m:sub>
            <m:r>
              <m:t>ϕ</m:t>
            </m:r>
          </m:sub>
        </m:sSub>
        <m:sSub>
          <m:e>
            <m:r>
              <m:t>U</m:t>
            </m:r>
          </m:e>
          <m:sub>
            <m:r>
              <m:t>A</m:t>
            </m:r>
          </m:sub>
        </m:sSub>
      </m:oMath>
      <w:r>
        <w:t xml:space="preserve">) do not form a conservative gradient flow and frequently exhibit limit cycles or rotational divergence. The two-timescale stochastic approximation schedule </w:t>
      </w:r>
      <w:r>
        <w:t xml:space="preserve">(Borkar 2008)</w:t>
      </w:r>
      <w:r>
        <w:t xml:space="preserve"> </w:t>
      </w:r>
      <w:r>
        <w:t xml:space="preserve">fundamentally resolves this issue by enforcing</w:t>
      </w:r>
      <w: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r>
        <w:t xml:space="preserve">. The follower updates rapidly relative to the leader, tracking the unique best-response manifold</w:t>
      </w:r>
      <w:r>
        <w:t xml:space="preserve"> </w:t>
      </w:r>
      <m:oMath>
        <m:sSup>
          <m:e>
            <m:r>
              <m:t>ϕ</m:t>
            </m:r>
          </m:e>
          <m:sup>
            <m:r>
              <m:rPr>
                <m:sty m:val="p"/>
              </m:rPr>
              <m:t>*</m:t>
            </m:r>
          </m:sup>
        </m:sSup>
        <m:r>
          <m:rPr>
            <m:sty m:val="p"/>
          </m:rPr>
          <m:t>(</m:t>
        </m:r>
        <m:r>
          <m:t>θ</m:t>
        </m:r>
        <m:r>
          <m:rPr>
            <m:sty m:val="p"/>
          </m:rPr>
          <m:t>)</m:t>
        </m:r>
      </m:oMath>
      <w:r>
        <w:t xml:space="preserve">. Decoupled from non-stationary follower dynamics,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projected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3"/>
    <w:bookmarkStart w:id="146" w:name="sec:marl_architecture"/>
    <w:p>
      <w:pPr>
        <w:pStyle w:val="Heading3"/>
      </w:pPr>
      <w:r>
        <w:t xml:space="preserve">Stackelberg MARL Agent Architecture and Hyperparameters</w:t>
      </w:r>
    </w:p>
    <w:p>
      <w:pPr>
        <w:pStyle w:val="FirstParagraph"/>
      </w:pPr>
      <w:r>
        <w:t xml:space="preserve">To ensure reproducibility and empirical rigor, we formalize the exact neural network architectures and hyperparameter configurations governing the multi-agent reinforcement learning optimization:</w:t>
      </w:r>
    </w:p>
    <w:bookmarkStart w:id="147" w:name="defender-policy-network-pi_theta"/>
    <w:p>
      <w:pPr>
        <w:pStyle w:val="Heading5"/>
      </w:pPr>
      <w:r>
        <w:t xml:space="preserve">Defender Policy Network (</w:t>
      </w:r>
      <m:oMath>
        <m:sSub>
          <m:e>
            <m:r>
              <m:t>π</m:t>
            </m:r>
          </m:e>
          <m:sub>
            <m:r>
              <m:t>θ</m:t>
            </m:r>
          </m:sub>
        </m:sSub>
      </m:oMath>
      <w:r>
        <w:t xml:space="preserve">):</w:t>
      </w:r>
    </w:p>
    <w:p>
      <w:pPr>
        <w:pStyle w:val="FirstParagraph"/>
      </w:pPr>
      <w:r>
        <w:t xml:space="preserve">The defender’s policy network evaluates candidate edges</w:t>
      </w:r>
      <w:r>
        <w:t xml:space="preserve"> </w:t>
      </w:r>
      <m:oMath>
        <m:r>
          <m:t>e</m:t>
        </m:r>
        <m:r>
          <m:rPr>
            <m:sty m:val="p"/>
          </m:rPr>
          <m:t>=</m:t>
        </m:r>
        <m:r>
          <m:rPr>
            <m:sty m:val="p"/>
          </m:rPr>
          <m:t>(</m:t>
        </m:r>
        <m:r>
          <m:t>u</m:t>
        </m:r>
        <m:r>
          <m:rPr>
            <m:sty m:val="p"/>
          </m:rPr>
          <m:t>,</m:t>
        </m:r>
        <m:r>
          <m:t>v</m:t>
        </m:r>
        <m:r>
          <m:rPr>
            <m:sty m:val="p"/>
          </m:rPr>
          <m:t>)</m:t>
        </m:r>
        <m:r>
          <m:rPr>
            <m:sty m:val="p"/>
          </m:rPr>
          <m:t>∈</m:t>
        </m:r>
        <m:r>
          <m:t>E</m:t>
        </m:r>
      </m:oMath>
      <w:r>
        <w:t xml:space="preserve"> </w:t>
      </w:r>
      <w:r>
        <w:t xml:space="preserve">for autonomous revocation. The input representation for edge</w:t>
      </w:r>
      <w:r>
        <w:t xml:space="preserve"> </w:t>
      </w:r>
      <m:oMath>
        <m:r>
          <m:t>e</m:t>
        </m:r>
      </m:oMath>
      <w:r>
        <w:t xml:space="preserve"> </w:t>
      </w:r>
      <w:r>
        <w:t xml:space="preserve">concatenates the endpoint node embeddings generated by CertGraph’s</w:t>
      </w:r>
      <w:r>
        <w:t xml:space="preserve"> </w:t>
      </w:r>
      <m:oMath>
        <m:r>
          <m:t>L</m:t>
        </m:r>
        <m:r>
          <m:rPr>
            <m:sty m:val="p"/>
          </m:rPr>
          <m:t>=</m:t>
        </m:r>
        <m:r>
          <m:t>2</m:t>
        </m:r>
      </m:oMath>
      <w:r>
        <w:t xml:space="preserve"> </w:t>
      </w:r>
      <w:r>
        <w:t xml:space="preserve">heterogeneous GNN backbone with the one-hot relation type vector:</w:t>
      </w:r>
    </w:p>
    <w:p>
      <w:pPr>
        <w:pStyle w:val="BodyText"/>
      </w:pPr>
      <m:oMathPara>
        <m:oMathParaPr>
          <m:jc m:val="center"/>
        </m:oMathParaPr>
        <m:oMath>
          <m:sSub>
            <m:e>
              <m:r>
                <m:t>x</m:t>
              </m:r>
            </m:e>
            <m:sub>
              <m:r>
                <m:t>e</m:t>
              </m:r>
            </m:sub>
          </m:sSub>
          <m:r>
            <m:rPr>
              <m:sty m:val="p"/>
            </m:rPr>
            <m:t>=</m:t>
          </m:r>
          <m:d>
            <m:dPr>
              <m:begChr m:val="["/>
              <m:sepChr m:val=""/>
              <m:endChr m:val="]"/>
              <m:grow/>
            </m:dPr>
            <m:e>
              <m:sSubSup>
                <m:e>
                  <m:r>
                    <m:t>h</m:t>
                  </m:r>
                </m:e>
                <m:sub>
                  <m:r>
                    <m:t>u</m:t>
                  </m:r>
                </m:sub>
                <m:sup>
                  <m:r>
                    <m:rPr>
                      <m:sty m:val="p"/>
                    </m:rPr>
                    <m:t>(</m:t>
                  </m:r>
                  <m:r>
                    <m:t>L</m:t>
                  </m:r>
                  <m:r>
                    <m:rPr>
                      <m:sty m:val="p"/>
                    </m:rPr>
                    <m:t>)</m:t>
                  </m:r>
                </m:sup>
              </m:sSubSup>
              <m:r>
                <m:t> </m:t>
              </m:r>
              <m:r>
                <m:rPr>
                  <m:sty m:val="p"/>
                </m:rPr>
                <m:t>∥</m:t>
              </m:r>
              <m:r>
                <m:t> </m:t>
              </m:r>
              <m:sSubSup>
                <m:e>
                  <m:r>
                    <m:t>h</m:t>
                  </m:r>
                </m:e>
                <m:sub>
                  <m:r>
                    <m:t>v</m:t>
                  </m:r>
                </m:sub>
                <m:sup>
                  <m:r>
                    <m:rPr>
                      <m:sty m:val="p"/>
                    </m:rPr>
                    <m:t>(</m:t>
                  </m:r>
                  <m:r>
                    <m:t>L</m:t>
                  </m:r>
                  <m:r>
                    <m:rPr>
                      <m:sty m:val="p"/>
                    </m:rPr>
                    <m:t>)</m:t>
                  </m:r>
                </m:sup>
              </m:sSubSup>
              <m:r>
                <m:t> </m:t>
              </m:r>
              <m:r>
                <m:rPr>
                  <m:sty m:val="p"/>
                </m:rPr>
                <m:t>∥</m:t>
              </m:r>
              <m:r>
                <m:t> </m:t>
              </m:r>
              <m:sSub>
                <m:e>
                  <m:r>
                    <m:rPr>
                      <m:sty m:val="b"/>
                    </m:rPr>
                    <m:t>1</m:t>
                  </m:r>
                </m:e>
                <m:sub>
                  <m:r>
                    <m:t>τ</m:t>
                  </m:r>
                  <m:r>
                    <m:rPr>
                      <m:sty m:val="p"/>
                    </m:rPr>
                    <m:t>(</m:t>
                  </m:r>
                  <m:r>
                    <m:t>e</m:t>
                  </m:r>
                  <m:r>
                    <m:rPr>
                      <m:sty m:val="p"/>
                    </m:rPr>
                    <m:t>)</m:t>
                  </m:r>
                </m:sub>
              </m:sSub>
            </m:e>
          </m:d>
          <m:r>
            <m:rPr>
              <m:sty m:val="p"/>
            </m:rPr>
            <m:t>∈</m:t>
          </m:r>
          <m:sSup>
            <m:e>
              <m:r>
                <m:rPr>
                  <m:scr m:val="double-struck"/>
                  <m:sty m:val="p"/>
                </m:rPr>
                <m:t>R</m:t>
              </m:r>
            </m:e>
            <m:sup>
              <m:r>
                <m:t>64</m:t>
              </m:r>
              <m:r>
                <m:rPr>
                  <m:sty m:val="p"/>
                </m:rPr>
                <m:t>+</m:t>
              </m:r>
              <m:r>
                <m:t>64</m:t>
              </m:r>
              <m:r>
                <m:rPr>
                  <m:sty m:val="p"/>
                </m:rPr>
                <m:t>+</m:t>
              </m:r>
              <m:r>
                <m:t>8</m:t>
              </m:r>
            </m:sup>
          </m:sSup>
          <m:r>
            <m:rPr>
              <m:sty m:val="p"/>
            </m:rPr>
            <m:t>=</m:t>
          </m:r>
          <m:sSup>
            <m:e>
              <m:r>
                <m:rPr>
                  <m:scr m:val="double-struck"/>
                  <m:sty m:val="p"/>
                </m:rPr>
                <m:t>R</m:t>
              </m:r>
            </m:e>
            <m:sup>
              <m:r>
                <m:t>136</m:t>
              </m:r>
            </m:sup>
          </m:sSup>
        </m:oMath>
      </m:oMathPara>
    </w:p>
    <w:p>
      <w:pPr>
        <w:pStyle w:val="FirstParagraph"/>
      </w:pPr>
      <w:r>
        <w:t xml:space="preserve">The edge embedding</w:t>
      </w:r>
      <w:r>
        <w:t xml:space="preserve"> </w:t>
      </w:r>
      <m:oMath>
        <m:sSub>
          <m:e>
            <m:r>
              <m:t>x</m:t>
            </m:r>
          </m:e>
          <m:sub>
            <m:r>
              <m:t>e</m:t>
            </m:r>
          </m:sub>
        </m:sSub>
      </m:oMath>
      <w:r>
        <w:t xml:space="preserve"> </w:t>
      </w:r>
      <w:r>
        <w:t xml:space="preserve">is processed by a 3-layer Multi-Layer Perceptron (MLP) with layer dimensions</w:t>
      </w:r>
      <w:r>
        <w:t xml:space="preserve"> </w:t>
      </w:r>
      <m:oMath>
        <m:r>
          <m:rPr>
            <m:sty m:val="p"/>
          </m:rPr>
          <m:t>[</m:t>
        </m:r>
        <m:r>
          <m:t>136</m:t>
        </m:r>
        <m:r>
          <m:rPr>
            <m:sty m:val="p"/>
          </m:rPr>
          <m:t>→</m:t>
        </m:r>
        <m:r>
          <m:t>128</m:t>
        </m:r>
        <m:r>
          <m:rPr>
            <m:sty m:val="p"/>
          </m:rPr>
          <m:t>→</m:t>
        </m:r>
        <m:r>
          <m:t>64</m:t>
        </m:r>
        <m:r>
          <m:rPr>
            <m:sty m:val="p"/>
          </m:rPr>
          <m:t>→</m:t>
        </m:r>
        <m:r>
          <m:t>1</m:t>
        </m:r>
        <m:r>
          <m:rPr>
            <m:sty m:val="p"/>
          </m:rPr>
          <m:t>]</m:t>
        </m:r>
      </m:oMath>
      <w:r>
        <w:t xml:space="preserve">. Each hidden layer applies Layer Normalization followed by LeakyReLU activations (</w:t>
      </w:r>
      <m:oMath>
        <m:r>
          <m:t>α</m:t>
        </m:r>
        <m:r>
          <m:rPr>
            <m:sty m:val="p"/>
          </m:rPr>
          <m:t>=</m:t>
        </m:r>
        <m:r>
          <m:t>0.01</m:t>
        </m:r>
      </m:oMath>
      <w:r>
        <w:t xml:space="preserve">) and a dropout rate of</w:t>
      </w:r>
      <w:r>
        <w:t xml:space="preserve"> </w:t>
      </w:r>
      <m:oMath>
        <m:r>
          <m:t>0.1</m:t>
        </m:r>
      </m:oMath>
      <w:r>
        <w:t xml:space="preserve">. The scalar output is passed through a Sigmoid activation to yield the unconstrained interdiction probability</w:t>
      </w:r>
      <w:r>
        <w:t xml:space="preserve"> </w:t>
      </w:r>
      <m:oMath>
        <m:sSub>
          <m:e>
            <m:acc>
              <m:accPr>
                <m:chr m:val="̃"/>
              </m:accPr>
              <m:e>
                <m:r>
                  <m:t>p</m:t>
                </m:r>
              </m:e>
            </m:acc>
          </m:e>
          <m:sub>
            <m:r>
              <m:t>D</m:t>
            </m:r>
          </m:sub>
        </m:sSub>
        <m:r>
          <m:rPr>
            <m:sty m:val="p"/>
          </m:rPr>
          <m:t>(</m:t>
        </m:r>
        <m:r>
          <m:t>e</m:t>
        </m:r>
        <m:r>
          <m:rPr>
            <m:sty m:val="p"/>
          </m:rPr>
          <m:t>)</m:t>
        </m:r>
        <m:r>
          <m:rPr>
            <m:sty m:val="p"/>
          </m:rPr>
          <m:t>∈</m:t>
        </m:r>
        <m:r>
          <m:rPr>
            <m:sty m:val="p"/>
          </m:rPr>
          <m:t>[</m:t>
        </m:r>
        <m:r>
          <m:t>0</m:t>
        </m:r>
        <m:r>
          <m:rPr>
            <m:sty m:val="p"/>
          </m:rPr>
          <m:t>,</m:t>
        </m:r>
        <m:r>
          <m:t>1</m:t>
        </m:r>
        <m:r>
          <m:rPr>
            <m:sty m:val="p"/>
          </m:rPr>
          <m:t>]</m:t>
        </m:r>
      </m:oMath>
      <w:r>
        <w:t xml:space="preserve">. To enforce differentiability during backpropagation while strictly respecting the operational budget</w:t>
      </w:r>
      <w:r>
        <w:t xml:space="preserve"> </w:t>
      </w:r>
      <m:oMath>
        <m:sSub>
          <m:e>
            <m:r>
              <m:t>B</m:t>
            </m:r>
          </m:e>
          <m:sub>
            <m:r>
              <m:rPr>
                <m:nor/>
                <m:sty m:val="p"/>
              </m:rPr>
              <m:t>ops</m:t>
            </m:r>
          </m:sub>
        </m:sSub>
      </m:oMath>
      <w:r>
        <w:t xml:space="preserve">, we apply Gumbel-Softmax relaxation across candidate edge scores during training, transitioning to deterministic top-</w:t>
      </w:r>
      <m:oMath>
        <m:sSub>
          <m:e>
            <m:r>
              <m:t>B</m:t>
            </m:r>
          </m:e>
          <m:sub>
            <m:r>
              <m:rPr>
                <m:nor/>
                <m:sty m:val="p"/>
              </m:rPr>
              <m:t>ops</m:t>
            </m:r>
          </m:sub>
        </m:sSub>
      </m:oMath>
      <w:r>
        <w:t xml:space="preserve"> </w:t>
      </w:r>
      <w:r>
        <w:t xml:space="preserve">edge selection during inference.</w:t>
      </w:r>
    </w:p>
    <w:bookmarkEnd w:id="144"/>
    <w:bookmarkStart w:id="148" w:name="attacker-policy-network-pi_phi"/>
    <w:p>
      <w:pPr>
        <w:pStyle w:val="Heading5"/>
      </w:pPr>
      <w:r>
        <w:t xml:space="preserve">Attacker Policy Network (</w:t>
      </w:r>
      <m:oMath>
        <m:sSub>
          <m:e>
            <m:r>
              <m:t>π</m:t>
            </m:r>
          </m:e>
          <m:sub>
            <m:r>
              <m:t>ϕ</m:t>
            </m:r>
          </m:sub>
        </m:sSub>
      </m:oMath>
      <w:r>
        <w:t xml:space="preserve">):</w:t>
      </w:r>
    </w:p>
    <w:p>
      <w:pPr>
        <w:pStyle w:val="FirstParagraph"/>
      </w:pPr>
      <w:r>
        <w:t xml:space="preserve">The simulated adversary employs a Deep Q-Network (DQN) architecture to learn optimal lateral movement traversal. Given the current compromised principal node state</w:t>
      </w:r>
      <w:r>
        <w:t xml:space="preserve"> </w:t>
      </w:r>
      <m:oMath>
        <m:sSub>
          <m:e>
            <m:r>
              <m:t>s</m:t>
            </m:r>
          </m:e>
          <m:sub>
            <m:r>
              <m:t>t</m:t>
            </m:r>
          </m:sub>
        </m:sSub>
        <m:r>
          <m:rPr>
            <m:sty m:val="p"/>
          </m:rPr>
          <m:t>=</m:t>
        </m:r>
        <m:r>
          <m:t>v</m:t>
        </m:r>
      </m:oMath>
      <w:r>
        <w:t xml:space="preserve">, the Q-network evaluates all outgoing authorization edges</w:t>
      </w:r>
      <w:r>
        <w:t xml:space="preserve"> </w:t>
      </w:r>
      <m:oMath>
        <m:r>
          <m:t>a</m:t>
        </m:r>
        <m:r>
          <m:rPr>
            <m:sty m:val="p"/>
          </m:rPr>
          <m:t>=</m:t>
        </m:r>
        <m:r>
          <m:rPr>
            <m:sty m:val="p"/>
          </m:rPr>
          <m:t>(</m:t>
        </m:r>
        <m:r>
          <m:t>v</m:t>
        </m:r>
        <m:r>
          <m:rPr>
            <m:sty m:val="p"/>
          </m:rPr>
          <m:t>,</m:t>
        </m:r>
        <m:r>
          <m:t>w</m:t>
        </m:r>
        <m:r>
          <m:rPr>
            <m:sty m:val="p"/>
          </m:rPr>
          <m:t>)</m:t>
        </m:r>
        <m:r>
          <m:rPr>
            <m:sty m:val="p"/>
          </m:rPr>
          <m:t>∈</m:t>
        </m:r>
        <m:sSub>
          <m:e>
            <m:r>
              <m:rPr>
                <m:scr m:val="script"/>
                <m:sty m:val="p"/>
              </m:rPr>
              <m:t>N</m:t>
            </m:r>
          </m:e>
          <m:sub>
            <m:r>
              <m:rPr>
                <m:nor/>
                <m:sty m:val="p"/>
              </m:rPr>
              <m:t>out</m:t>
            </m:r>
          </m:sub>
        </m:sSub>
        <m:r>
          <m:rPr>
            <m:sty m:val="p"/>
          </m:rPr>
          <m:t>(</m:t>
        </m:r>
        <m:r>
          <m:t>v</m:t>
        </m:r>
        <m:r>
          <m:rPr>
            <m:sty m:val="p"/>
          </m:rPr>
          <m:t>)</m:t>
        </m:r>
      </m:oMath>
      <w:r>
        <w:t xml:space="preserve">. The state-action value</w:t>
      </w:r>
      <w:r>
        <w:t xml:space="preserve"> </w:t>
      </w:r>
      <m:oMath>
        <m:sSub>
          <m:e>
            <m:r>
              <m:t>Q</m:t>
            </m:r>
          </m:e>
          <m:sub>
            <m:r>
              <m:t>ϕ</m:t>
            </m:r>
          </m:sub>
        </m:sSub>
        <m:r>
          <m:rPr>
            <m:sty m:val="p"/>
          </m:rPr>
          <m:t>(</m:t>
        </m:r>
        <m:r>
          <m:t>s</m:t>
        </m:r>
        <m:r>
          <m:rPr>
            <m:sty m:val="p"/>
          </m:rPr>
          <m:t>,</m:t>
        </m:r>
        <m:r>
          <m:t>a</m:t>
        </m:r>
        <m:r>
          <m:rPr>
            <m:sty m:val="p"/>
          </m:rPr>
          <m:t>)</m:t>
        </m:r>
      </m:oMath>
      <w:r>
        <w:t xml:space="preserve"> </w:t>
      </w:r>
      <w:r>
        <w:t xml:space="preserve">is computed by passing neighbor representations through a 2-layer Relational Graph Convolutional Network (R-GCN) with hidden dimension</w:t>
      </w:r>
      <w:r>
        <w:t xml:space="preserve"> </w:t>
      </w:r>
      <m:oMath>
        <m:r>
          <m:t>64</m:t>
        </m:r>
      </m:oMath>
      <w:r>
        <w:t xml:space="preserve">, followed by a linear projection head. Exploration follows an</w:t>
      </w:r>
      <w:r>
        <w:t xml:space="preserve"> </w:t>
      </w:r>
      <m:oMath>
        <m:r>
          <m:t>ϵ</m:t>
        </m:r>
      </m:oMath>
      <w:r>
        <w:t xml:space="preserve">-greedy schedule with exponential decay.</w:t>
      </w:r>
    </w:p>
    <w:p>
      <w:pPr>
        <w:pStyle w:val="BodyText"/>
      </w:pPr>
      <w:r>
        <w:t xml:space="preserve">Table </w:t>
      </w:r>
      <w:hyperlink w:anchor="tab:marl_hyperparams">
        <w:r>
          <w:rPr>
            <w:rStyle w:val="Hyperlink"/>
          </w:rPr>
          <w:t xml:space="preserve">[tab:marl_hyperparams]</w:t>
        </w:r>
      </w:hyperlink>
      <w:r>
        <w:t xml:space="preserve"> </w:t>
      </w:r>
      <w:r>
        <w:t xml:space="preserve">provides the comprehensive hyperparameter specifications for both agents across all training runs.</w:t>
      </w:r>
    </w:p>
    <w:p>
      <w:pPr>
        <w:keepNext/>
        <w:spacing w:before="280" w:after="120"/>
        <w:jc w:val="center"/>
      </w:pPr>
      <w:r>
        <w:rPr>
          <w:rFonts w:ascii="Times New Roman" w:hAnsi="Times New Roman"/>
          <w:b/>
          <w:sz w:val="20"/>
        </w:rPr>
        <w:t xml:space="preserve">Table 17: </w:t>
      </w:r>
      <w:r>
        <w:rPr>
          <w:rFonts w:ascii="Times New Roman" w:hAnsi="Times New Roman"/>
          <w:sz w:val="20"/>
        </w:rPr>
        <w:t>Hyperparameter and Architectural Specifications for the Stackelberg MARL Defense Framework.</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931"/>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244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 / Value</w:t>
            </w:r>
          </w:p>
        </w:tc>
        <w:tc>
          <w:tcPr>
            <w:tcW w:type="dxa" w:w="411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Operational Role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alpha_0 = 1 × 10^-4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Slow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alpha_k = fracalpha_0(1 + 0.005 k)^0.6</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Sub-linear schedule (sum alpha_k = infty, sum alpha_k^2 &lt; infty)</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eta_0 = 1 × 10^-3</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eta_k = fraceta_0(1 + 0.001 k)^0.8</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schedule ensuring lim_k to infty alpha_k / eta_k = 0</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Discount Factor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 = 0.99</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Temporal reward discounting for multi-hop paths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Budget Penalty Weight</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lambda_ops = 2.5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Multi-objective multiplier for disruption cost</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Strong Concavity Regularizer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gamma_reg =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L_2 penalty enforcing unique best response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[128,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3-layer MLP with LayerNorm and LeakyReLU</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2-layer R-GCN with ReLU activations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Replay Buffer Capacity</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50,000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Experience replay transitions for off-policy attacker</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Mini-Batch Size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Transition tuples sampled per gradient step</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Exploration Schedule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epsilon: 1.0 to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Exponential decay over first 100 training episodes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Training Episodes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250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Episodes per topology (max 50 steps per episode)</w:t>
            </w:r>
          </w:p>
        </w:tc>
      </w:tr>
    </w:tbl>
    <w:bookmarkEnd w:id="145"/>
    <w:bookmarkEnd w:id="146"/>
    <w:bookmarkEnd w:id="147"/>
    <w:bookmarkStart w:id="149" w:name="sec:game_simulation"/>
    <w:p>
      <w:pPr>
        <w:pStyle w:val="Heading2"/>
        <w:spacing w:before="280" w:after="120"/>
      </w:pPr>
      <w:r>
        <w:t xml:space="preserve">Simulation Experiments and Remediation Trade-offs</w:t>
      </w:r>
    </w:p>
    <w:bookmarkStart w:id="150" w:name="Xcaa3ab3389510acbc0118a1ac01bcc052cac1c5"/>
    <w:p>
      <w:pPr>
        <w:pStyle w:val="Heading3"/>
      </w:pPr>
      <w:r>
        <w:t xml:space="preserve">Experimental Simulation Protocol and Evaluated Topologies</w:t>
      </w:r>
    </w:p>
    <w:p>
      <w:pPr>
        <w:pStyle w:val="FirstParagraph"/>
      </w:pPr>
      <w:r>
        <w:t xml:space="preserve">To empirically validate the game-theoretic autonomous defense framework, we conducted extensive multi-agent simulations across</w:t>
      </w:r>
      <w:r>
        <w:t xml:space="preserve"> </w:t>
      </w:r>
      <w:r>
        <w:rPr>
          <w:b/>
          <w:bCs/>
        </w:rPr>
        <w:t xml:space="preserve">100 distinct Active Directory topologies</w:t>
      </w:r>
      <w:r>
        <w:t xml:space="preserve">:</w:t>
      </w:r>
    </w:p>
    <w:p>
      <w:pPr>
        <w:numPr>
          <w:ilvl w:val="0"/>
          <w:numId w:val="77"/>
        </w:numPr>
      </w:pPr>
      <w:r>
        <w:rPr>
          <w:b/>
          <w:bCs/>
        </w:rPr>
        <w:t xml:space="preserve">Topology Suite:</w:t>
      </w:r>
      <w:r>
        <w:t xml:space="preserve"> </w:t>
      </w:r>
      <w:r>
        <w:t xml:space="preserve">50 synthetic enterprise graphs generated via our sanitized benchmark generator and 50 realistic tiered directory environments synthesized via ADSynth </w:t>
      </w:r>
      <w:r>
        <w:t xml:space="preserve">(</w:t>
      </w:r>
      <w:r>
        <w:rPr>
          <w:b/>
          <w:bCs/>
        </w:rPr>
        <w:t xml:space="preserve">nguyen2024synthesizing?</w:t>
      </w:r>
      <w:r>
        <w:t xml:space="preserve">)</w:t>
      </w:r>
      <w:r>
        <w:t xml:space="preserve">. Graph sizes scale from</w:t>
      </w:r>
      <w:r>
        <w:t xml:space="preserve"> </w:t>
      </w:r>
      <m:oMath>
        <m:r>
          <m:t>N</m:t>
        </m:r>
        <m:r>
          <m:rPr>
            <m:sty m:val="p"/>
          </m:rPr>
          <m:t>=</m:t>
        </m:r>
        <m:r>
          <m:t>250</m:t>
        </m:r>
      </m:oMath>
      <w:r>
        <w:t xml:space="preserve"> </w:t>
      </w:r>
      <w:r>
        <w:t xml:space="preserve">to</w:t>
      </w:r>
      <w:r>
        <w:t xml:space="preserve"> </w:t>
      </w:r>
      <m:oMath>
        <m:r>
          <m:t>2</m:t>
        </m:r>
        <m:r>
          <m:rPr>
            <m:sty m:val="p"/>
          </m:rPr>
          <m:t>,</m:t>
        </m:r>
        <m:r>
          <m:t>500</m:t>
        </m:r>
      </m:oMath>
      <w:r>
        <w:t xml:space="preserve"> </w:t>
      </w:r>
      <w:r>
        <w:t xml:space="preserve">nodes with edge counts ranging from</w:t>
      </w:r>
      <w:r>
        <w:t xml:space="preserve"> </w:t>
      </w:r>
      <m:oMath>
        <m:r>
          <m:t>1</m:t>
        </m:r>
        <m:r>
          <m:rPr>
            <m:sty m:val="p"/>
          </m:rPr>
          <m:t>,</m:t>
        </m:r>
        <m:r>
          <m:t>800</m:t>
        </m:r>
      </m:oMath>
      <w:r>
        <w:t xml:space="preserve"> </w:t>
      </w:r>
      <w:r>
        <w:t xml:space="preserve">to</w:t>
      </w:r>
      <w:r>
        <w:t xml:space="preserve"> </w:t>
      </w:r>
      <m:oMath>
        <m:r>
          <m:t>18</m:t>
        </m:r>
        <m:r>
          <m:rPr>
            <m:sty m:val="p"/>
          </m:rPr>
          <m:t>,</m:t>
        </m:r>
        <m:r>
          <m:t>200</m:t>
        </m:r>
      </m:oMath>
      <w:r>
        <w:t xml:space="preserve">, incorporating realistic forest structures, group nesting, and cross-tier trust relationships.</w:t>
      </w:r>
    </w:p>
    <w:p>
      <w:pPr>
        <w:numPr>
          <w:ilvl w:val="0"/>
          <w:numId w:val="77"/>
        </w:numPr>
      </w:pPr>
      <w:r>
        <w:rPr>
          <w:b/>
          <w:bCs/>
        </w:rPr>
        <w:t xml:space="preserve">Statistical Replication:</w:t>
      </w:r>
      <w:r>
        <w:t xml:space="preserve"> </w:t>
      </w:r>
      <w:r>
        <w:t xml:space="preserve">All experiments were evaluated across</w:t>
      </w:r>
      <w:r>
        <w:t xml:space="preserve"> </w:t>
      </w:r>
      <w:r>
        <w:rPr>
          <w:b/>
          <w:bCs/>
        </w:rPr>
        <w:t xml:space="preserve">5 independent random seeds</w:t>
      </w:r>
      <w:r>
        <w:t xml:space="preserve"> </w:t>
      </w:r>
      <w:r>
        <w:t xml:space="preserve">(</w:t>
      </w:r>
      <m:oMath>
        <m:r>
          <m:t>S</m:t>
        </m:r>
        <m:r>
          <m:rPr>
            <m:sty m:val="p"/>
          </m:rPr>
          <m:t>∈</m:t>
        </m:r>
        <m:r>
          <m:rPr>
            <m:sty m:val="p"/>
          </m:rPr>
          <m:t>{</m:t>
        </m:r>
        <m:r>
          <m:t>42</m:t>
        </m:r>
        <m:r>
          <m:rPr>
            <m:sty m:val="p"/>
          </m:rPr>
          <m:t>,</m:t>
        </m:r>
        <m:r>
          <m:t>1337</m:t>
        </m:r>
        <m:r>
          <m:rPr>
            <m:sty m:val="p"/>
          </m:rPr>
          <m:t>,</m:t>
        </m:r>
        <m:r>
          <m:t>2024</m:t>
        </m:r>
        <m:r>
          <m:rPr>
            <m:sty m:val="p"/>
          </m:rPr>
          <m:t>,</m:t>
        </m:r>
        <m:r>
          <m:t>777</m:t>
        </m:r>
        <m:r>
          <m:rPr>
            <m:sty m:val="p"/>
          </m:rPr>
          <m:t>,</m:t>
        </m:r>
        <m:r>
          <m:t>999</m:t>
        </m:r>
        <m:r>
          <m:rPr>
            <m:sty m:val="p"/>
          </m:rPr>
          <m:t>}</m:t>
        </m:r>
      </m:oMath>
      <w:r>
        <w:t xml:space="preserve">), reporting mean performance and standard deviations.</w:t>
      </w:r>
    </w:p>
    <w:p>
      <w:pPr>
        <w:numPr>
          <w:ilvl w:val="0"/>
          <w:numId w:val="77"/>
        </w:numPr>
      </w:pPr>
      <w:r>
        <w:rPr>
          <w:b/>
          <w:bCs/>
        </w:rPr>
        <w:t xml:space="preserve">Adversary Profile:</w:t>
      </w:r>
      <w:r>
        <w:t xml:space="preserve"> </w:t>
      </w:r>
      <w:r>
        <w:t xml:space="preserve">Simulated adversaries execute multi-hop privilege escalation targeting Domain Admin tokens, selecting paths via</w:t>
      </w:r>
      <w:r>
        <w:t xml:space="preserve"> </w:t>
      </w:r>
      <m:oMath>
        <m:r>
          <m:t>ϵ</m:t>
        </m:r>
      </m:oMath>
      <w:r>
        <w:t xml:space="preserve">-greedy exploration with stealth constraints penalizing noisy traversal edges.</w:t>
      </w:r>
    </w:p>
    <w:bookmarkEnd w:id="148"/>
    <w:bookmarkStart w:id="151" w:name="comparative-defense-baselines"/>
    <w:p>
      <w:pPr>
        <w:pStyle w:val="Heading3"/>
      </w:pPr>
      <w:r>
        <w:t xml:space="preserve">Comparative Defense Baselines</w:t>
      </w:r>
    </w:p>
    <w:p>
      <w:pPr>
        <w:pStyle w:val="FirstParagraph"/>
      </w:pPr>
      <w:r>
        <w:t xml:space="preserve">We benchmarked the proposed Stackelberg framework against three automated remediation strategies:</w:t>
      </w:r>
    </w:p>
    <w:p>
      <w:pPr>
        <w:numPr>
          <w:ilvl w:val="0"/>
          <w:numId w:val="78"/>
        </w:numPr>
      </w:pPr>
      <w:r>
        <w:rPr>
          <w:b/>
          <w:bCs/>
        </w:rPr>
        <w:t xml:space="preserve">Uniform Random Revocation:</w:t>
      </w:r>
      <w:r>
        <w:t xml:space="preserve"> </w:t>
      </w:r>
      <w:r>
        <w:t xml:space="preserve">Selects and revokes authorization edges uniformly at random until reaching the disruption budget</w:t>
      </w:r>
      <w:r>
        <w:t xml:space="preserve"> </w:t>
      </w:r>
      <m:oMath>
        <m:sSub>
          <m:e>
            <m:r>
              <m:t>B</m:t>
            </m:r>
          </m:e>
          <m:sub>
            <m:r>
              <m:rPr>
                <m:nor/>
                <m:sty m:val="p"/>
              </m:rPr>
              <m:t>ops</m:t>
            </m:r>
          </m:sub>
        </m:sSub>
      </m:oMath>
      <w:r>
        <w:t xml:space="preserve">.</w:t>
      </w:r>
    </w:p>
    <w:p>
      <w:pPr>
        <w:numPr>
          <w:ilvl w:val="0"/>
          <w:numId w:val="78"/>
        </w:numPr>
      </w:pPr>
      <w:r>
        <w:rPr>
          <w:b/>
          <w:bCs/>
        </w:rPr>
        <w:t xml:space="preserve">Degree-Centrality Revocation:</w:t>
      </w:r>
      <w:r>
        <w:t xml:space="preserve"> </w:t>
      </w:r>
      <w:r>
        <w:t xml:space="preserve">Greedily revokes edges incident to nodes possessing the highest total degree (in-degree + out-degree).</w:t>
      </w:r>
    </w:p>
    <w:p>
      <w:pPr>
        <w:numPr>
          <w:ilvl w:val="0"/>
          <w:numId w:val="78"/>
        </w:numPr>
      </w:pPr>
      <w:r>
        <w:rPr>
          <w:b/>
          <w:bCs/>
        </w:rPr>
        <w:t xml:space="preserve">Greedy Capacity-Disruption Heuristic (Algorithm </w:t>
      </w:r>
      <w:hyperlink w:anchor="alg:greedy_sever">
        <w:r>
          <w:rPr>
            <w:rStyle w:val="Hyperlink"/>
            <w:b/>
            <w:bCs/>
          </w:rPr>
          <w:t xml:space="preserve">[alg:greedy_sever]</w:t>
        </w:r>
      </w:hyperlink>
      <w:r>
        <w:rPr>
          <w:b/>
          <w:bCs/>
        </w:rPr>
        <w:t xml:space="preserve">):</w:t>
      </w:r>
      <w:r>
        <w:t xml:space="preserve"> </w:t>
      </w:r>
      <w:r>
        <w:t xml:space="preserve">Iteratively computes path centrality</w:t>
      </w:r>
      <w:r>
        <w:t xml:space="preserve"> </w:t>
      </w:r>
      <m:oMath>
        <m:r>
          <m:t>ϕ</m:t>
        </m:r>
        <m:r>
          <m:rPr>
            <m:sty m:val="p"/>
          </m:rPr>
          <m:t>(</m:t>
        </m:r>
        <m:r>
          <m:t>e</m:t>
        </m:r>
        <m:r>
          <m:rPr>
            <m:sty m:val="p"/>
          </m:rPr>
          <m:t>)</m:t>
        </m:r>
      </m:oMath>
      <w:r>
        <w:t xml:space="preserve"> </w:t>
      </w:r>
      <w:r>
        <w:t xml:space="preserve">across active lateral movement paths and severs edges maximizing</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w:t>
      </w:r>
    </w:p>
    <w:p>
      <w:pPr>
        <w:numPr>
          <w:ilvl w:val="0"/>
          <w:numId w:val="78"/>
        </w:numPr>
      </w:pPr>
      <w:r>
        <w:rPr>
          <w:b/>
          <w:bCs/>
        </w:rPr>
        <w:t xml:space="preserve">Stackelberg Co-Adaptive Policy (Ours):</w:t>
      </w:r>
      <w:r>
        <w:t xml:space="preserve"> </w:t>
      </w:r>
      <w:r>
        <w:t xml:space="preserve">The proposed two-timescale reinforcement learning policy optimizing the regularized multi-objective utility</w:t>
      </w:r>
      <w:r>
        <w:t xml:space="preserve"> </w:t>
      </w:r>
      <m:oMath>
        <m:sSub>
          <m:e>
            <m:r>
              <m:t>U</m:t>
            </m:r>
          </m:e>
          <m:sub>
            <m:r>
              <m:t>D</m:t>
            </m:r>
          </m:sub>
        </m:sSub>
      </m:oMath>
      <w:r>
        <w:t xml:space="preserve">.</w:t>
      </w:r>
    </w:p>
    <w:bookmarkStart w:id="152" w:name="fig:game_sim"/>
    <w:p xmlns:a="http://schemas.openxmlformats.org/drawingml/2006/main" xmlns:pic="http://schemas.openxmlformats.org/drawingml/2006/picture">
      <w:pPr>
        <w:pStyle w:val="CaptionedFigure"/>
        <w:keepNext/>
        <w:spacing w:before="160" w:after="80"/>
        <w:jc w:val="center"/>
      </w:pPr>
      <w:r>
        <w:drawing>
          <wp:inline>
            <wp:extent cx="5876544" cy="2344605"/>
            <wp:effectExtent b="0" l="0" r="0" t="0"/>
            <wp:docPr descr="" title="" id="17" name="Picture"/>
            <a:graphic>
              <a:graphicData uri="http://schemas.openxmlformats.org/drawingml/2006/picture">
                <pic:pic>
                  <pic:nvPicPr>
                    <pic:cNvPr descr="figures/game_theoretic_convergence.png" id="17" name="Picture"/>
                    <pic:cNvPicPr>
                      <a:picLocks noChangeArrowheads="1" noChangeAspect="1"/>
                    </pic:cNvPicPr>
                  </pic:nvPicPr>
                  <pic:blipFill>
                    <a:blip r:embed="rId25"/>
                    <a:stretch>
                      <a:fillRect/>
                    </a:stretch>
                  </pic:blipFill>
                  <pic:spPr bwMode="auto">
                    <a:xfrm>
                      <a:off x="0" y="0"/>
                      <a:ext cx="5876544" cy="2344605"/>
                    </a:xfrm>
                    <a:prstGeom prst="rect">
                      <a:avLst/>
                    </a:prstGeom>
                    <a:noFill/>
                    <a:ln w="9525">
                      <a:noFill/>
                      <a:headEnd/>
                      <a:tailEnd/>
                    </a:ln>
                  </pic:spPr>
                </pic:pic>
              </a:graphicData>
            </a:graphic>
          </wp:inline>
        </w:drawing>
      </w:r>
    </w:p>
    <w:p>
      <w:pPr>
        <w:pStyle w:val="ImageCaption"/>
      </w:pPr>
      <w:r>
        <w:t xml:space="preserve">Autonomous cyber defense evaluation: (a) Multi-agent two-timescale policy learning convergence showing the asymptotic decay of defender policy loss and gradient norm over 250 training episodes across 5 independent seeds. (b) Forbidden compromise path neutralization rate as a function of operational disruption budget</w:t>
      </w:r>
      <w:r>
        <w:t xml:space="preserve"> </w:t>
      </w:r>
      <m:oMath>
        <m:sSub>
          <m:e>
            <m:r>
              <m:t>B</m:t>
            </m:r>
          </m:e>
          <m:sub>
            <m:r>
              <m:rPr>
                <m:nor/>
                <m:sty m:val="p"/>
              </m:rPr>
              <m:t>ops</m:t>
            </m:r>
          </m:sub>
        </m:sSub>
      </m:oMath>
      <w:r>
        <w:t xml:space="preserve">, showing that the Stackelberg co-adaptive policy achieves 100% neutralization at</w:t>
      </w:r>
      <w:r>
        <w:t xml:space="preserve"> </w:t>
      </w:r>
      <m:oMath>
        <m:sSub>
          <m:e>
            <m:r>
              <m:t>B</m:t>
            </m:r>
          </m:e>
          <m:sub>
            <m:r>
              <m:rPr>
                <m:nor/>
                <m:sty m:val="p"/>
              </m:rPr>
              <m:t>ops</m:t>
            </m:r>
          </m:sub>
        </m:sSub>
        <m:r>
          <m:rPr>
            <m:sty m:val="p"/>
          </m:rPr>
          <m:t>=</m:t>
        </m:r>
        <m:r>
          <m:t>12</m:t>
        </m:r>
      </m:oMath>
      <w:r>
        <w:t xml:space="preserve"> </w:t>
      </w:r>
      <w:r>
        <w:t xml:space="preserve">by identifying high-centrality structural bottlenecks.</w:t>
      </w:r>
    </w:p>
    <w:bookmarkEnd w:id="149"/>
    <w:p>
      <w:pPr>
        <w:keepNext/>
        <w:spacing w:before="280" w:after="120"/>
        <w:jc w:val="center"/>
      </w:pPr>
      <w:r>
        <w:rPr>
          <w:rFonts w:ascii="Times New Roman" w:hAnsi="Times New Roman"/>
          <w:b/>
          <w:sz w:val="20"/>
        </w:rPr>
        <w:t xml:space="preserve">Table 18: </w:t>
      </w:r>
      <w:r>
        <w:rPr>
          <w:rFonts w:ascii="Times New Roman" w:hAnsi="Times New Roman"/>
          <w:sz w:val="20"/>
        </w:rPr>
        <w:t>Comparative evaluation of autonomous edge-interdiction defense policies across 100 Active Directory topologies under varying operational disruption budgets ($B_textops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5117"/>
            <w:shd w:fill="F1F5F9"/>
            <w:tcMar>
              <w:top w:w="60" w:type="dxa"/>
              <w:bottom w:w="60" w:type="dxa"/>
              <w:left w:w="80" w:type="dxa"/>
              <w:right w:w="80" w:type="dxa"/>
            </w:tcMar>
          </w:tcPr>
          <w:p>
            <w:pPr>
              <w:spacing w:before="80" w:after="80" w:line="252" w:lineRule="auto"/>
              <w:jc w:val="left"/>
            </w:pPr>
            <w:r>
              <w:rPr>
                <w:rFonts w:ascii="Times New Roman" w:hAnsi="Times New Roman"/>
                <w:b/>
                <w:sz w:val="19"/>
              </w:rPr>
              <w:t>Defense Strategy</w:t>
            </w:r>
          </w:p>
        </w:tc>
        <w:tc>
          <w:tcPr>
            <w:tcW w:type="dxa" w:w="135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Budget (B_ops)</w:t>
            </w:r>
          </w:p>
        </w:tc>
        <w:tc>
          <w:tcPr>
            <w:tcW w:type="dxa" w:w="20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textbfPaths Severed (</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Uniform Random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$8.4 ± 2.1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$15.1 ± 3.2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$18.6 ± 2.8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$22.7 ± 3.5</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Degree-Centrality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$25.3 ± 4.1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$48.2 ± 5.3</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$58.4 ± 4.8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$66.1 ± 4.2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Greedy Capacity-Disruption (Alg.~refalg:greedy_sever)</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$54.2 ± 3.8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$85.4 ± 2.9</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$99.1 ± 1.2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Stackelberg Co-Adaptive Policy (Ours)</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$mathbf68.3 ± 3.1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$mathbf96.2 ± 1.8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bl>
    <w:bookmarkEnd w:id="150"/>
    <w:bookmarkStart w:id="153" w:name="analysis-of-operational-findings"/>
    <w:p>
      <w:pPr>
        <w:pStyle w:val="Heading3"/>
      </w:pPr>
      <w:r>
        <w:t xml:space="preserve">Analysis of Operational Findings</w:t>
      </w:r>
    </w:p>
    <w:p>
      <w:pPr>
        <w:pStyle w:val="FirstParagraph"/>
      </w:pPr>
      <w:r>
        <w:t xml:space="preserve">The empirical results compiled in Table </w:t>
      </w:r>
      <w:hyperlink w:anchor="tab:game_simulation_results">
        <w:r>
          <w:rPr>
            <w:rStyle w:val="Hyperlink"/>
          </w:rPr>
          <w:t xml:space="preserve">[tab:game_simulation_results]</w:t>
        </w:r>
      </w:hyperlink>
      <w:r>
        <w:t xml:space="preserve"> </w:t>
      </w:r>
      <w:r>
        <w:t xml:space="preserve">and Figure </w:t>
      </w:r>
      <w:hyperlink w:anchor="fig:game_sim">
        <w:r>
          <w:rPr>
            <w:rStyle w:val="Hyperlink"/>
          </w:rPr>
          <w:t xml:space="preserve">9.1</w:t>
        </w:r>
      </w:hyperlink>
      <w:r>
        <w:t xml:space="preserve"> </w:t>
      </w:r>
      <w:r>
        <w:t xml:space="preserve">confirm three core operational insights:</w:t>
      </w:r>
    </w:p>
    <w:p>
      <w:pPr>
        <w:numPr>
          <w:ilvl w:val="0"/>
          <w:numId w:val="79"/>
        </w:numPr>
      </w:pPr>
      <w:r>
        <w:rPr>
          <w:b/>
          <w:bCs/>
        </w:rPr>
        <w:t xml:space="preserve">Optimal Bottleneck Severing:</w:t>
      </w:r>
      <w:r>
        <w:t xml:space="preserve"> </w:t>
      </w:r>
      <w:r>
        <w:t xml:space="preserve">Rather than revoking dozens of individual enroller permissions, the Stackelberg policy systematically identifies structural bottlenecks: revoking a single intermediate</w:t>
      </w:r>
      <w:r>
        <w:t xml:space="preserve"> </w:t>
      </w:r>
      <w:r>
        <w:rPr>
          <w:rStyle w:val="VerbatimChar"/>
        </w:rPr>
        <w:t xml:space="preserve">MemberOf</w:t>
      </w:r>
      <w:r>
        <w:t xml:space="preserve"> </w:t>
      </w:r>
      <w:r>
        <w:t xml:space="preserve">delegation edge severed an average of</w:t>
      </w:r>
      <w:r>
        <w:t xml:space="preserve"> </w:t>
      </w:r>
      <m:oMath>
        <m:r>
          <m:t>84.2</m:t>
        </m:r>
        <m:r>
          <m:rPr>
            <m:sty m:val="p"/>
          </m:rPr>
          <m:t>%</m:t>
        </m:r>
      </m:oMath>
      <w:r>
        <w:t xml:space="preserve"> </w:t>
      </w:r>
      <w:r>
        <w:t xml:space="preserve">of all incoming attack paths. At budget</w:t>
      </w:r>
      <w:r>
        <w:t xml:space="preserve"> </w:t>
      </w:r>
      <m:oMath>
        <m:sSub>
          <m:e>
            <m:r>
              <m:t>B</m:t>
            </m:r>
          </m:e>
          <m:sub>
            <m:r>
              <m:rPr>
                <m:nor/>
                <m:sty m:val="p"/>
              </m:rPr>
              <m:t>ops</m:t>
            </m:r>
          </m:sub>
        </m:sSub>
        <m:r>
          <m:rPr>
            <m:sty m:val="p"/>
          </m:rPr>
          <m:t>=</m:t>
        </m:r>
        <m:r>
          <m:t>12</m:t>
        </m:r>
      </m:oMath>
      <w:r>
        <w:t xml:space="preserve">, the Stackelberg policy neutralizes</w:t>
      </w:r>
      <w:r>
        <w:t xml:space="preserve"> </w:t>
      </w:r>
      <m:oMath>
        <m:r>
          <m:t>96.2</m:t>
        </m:r>
        <m:r>
          <m:rPr>
            <m:sty m:val="p"/>
          </m:rPr>
          <m:t>%</m:t>
        </m:r>
      </m:oMath>
      <w:r>
        <w:t xml:space="preserve"> </w:t>
      </w:r>
      <w:r>
        <w:t xml:space="preserve">of paths, achieving complete</w:t>
      </w:r>
      <w:r>
        <w:t xml:space="preserve"> </w:t>
      </w:r>
      <m:oMath>
        <m:r>
          <m:t>100</m:t>
        </m:r>
        <m:r>
          <m:rPr>
            <m:sty m:val="p"/>
          </m:rPr>
          <m:t>%</m:t>
        </m:r>
      </m:oMath>
      <w:r>
        <w:t xml:space="preserve"> </w:t>
      </w:r>
      <w:r>
        <w:t xml:space="preserve">neutralization at</w:t>
      </w:r>
      <w:r>
        <w:t xml:space="preserve"> </w:t>
      </w:r>
      <m:oMath>
        <m:sSub>
          <m:e>
            <m:r>
              <m:t>B</m:t>
            </m:r>
          </m:e>
          <m:sub>
            <m:r>
              <m:rPr>
                <m:nor/>
                <m:sty m:val="p"/>
              </m:rPr>
              <m:t>ops</m:t>
            </m:r>
          </m:sub>
        </m:sSub>
        <m:r>
          <m:rPr>
            <m:sty m:val="p"/>
          </m:rPr>
          <m:t>=</m:t>
        </m:r>
        <m:r>
          <m:t>18</m:t>
        </m:r>
      </m:oMath>
      <w:r>
        <w:t xml:space="preserve"> </w:t>
      </w:r>
      <w:r>
        <w:t xml:space="preserve">while revoking only</w:t>
      </w:r>
      <w:r>
        <w:t xml:space="preserve"> </w:t>
      </w:r>
      <m:oMath>
        <m:r>
          <m:t>12.1</m:t>
        </m:r>
      </m:oMath>
      <w:r>
        <w:t xml:space="preserve"> </w:t>
      </w:r>
      <w:r>
        <w:t xml:space="preserve">edges on average.</w:t>
      </w:r>
    </w:p>
    <w:p>
      <w:pPr>
        <w:numPr>
          <w:ilvl w:val="0"/>
          <w:numId w:val="79"/>
        </w:numPr>
      </w:pPr>
      <w:r>
        <w:rPr>
          <w:b/>
          <w:bCs/>
        </w:rPr>
        <w:t xml:space="preserve">Superiority Over Local Heuristics:</w:t>
      </w:r>
      <w:r>
        <w:t xml:space="preserve"> </w:t>
      </w:r>
      <w:r>
        <w:t xml:space="preserve">Degree-centrality revocation plateaus at</w:t>
      </w:r>
      <w:r>
        <w:t xml:space="preserve"> </w:t>
      </w:r>
      <m:oMath>
        <m:r>
          <m:t>66.1</m:t>
        </m:r>
        <m:r>
          <m:rPr>
            <m:sty m:val="p"/>
          </m:rPr>
          <m:t>%</m:t>
        </m:r>
      </m:oMath>
      <w:r>
        <w:t xml:space="preserve"> </w:t>
      </w:r>
      <w:r>
        <w:t xml:space="preserve">path severing even at</w:t>
      </w:r>
      <w:r>
        <w:t xml:space="preserve"> </w:t>
      </w:r>
      <m:oMath>
        <m:sSub>
          <m:e>
            <m:r>
              <m:t>B</m:t>
            </m:r>
          </m:e>
          <m:sub>
            <m:r>
              <m:rPr>
                <m:nor/>
                <m:sty m:val="p"/>
              </m:rPr>
              <m:t>ops</m:t>
            </m:r>
          </m:sub>
        </m:sSub>
        <m:r>
          <m:rPr>
            <m:sty m:val="p"/>
          </m:rPr>
          <m:t>=</m:t>
        </m:r>
        <m:r>
          <m:t>24</m:t>
        </m:r>
      </m:oMath>
      <w:r>
        <w:t xml:space="preserve">. High-degree directory objects (e.g., generic distribution groups) participate heavily in benign traffic but rarely sit on minimal cutsets of privilege escalation paths.</w:t>
      </w:r>
    </w:p>
    <w:p>
      <w:pPr>
        <w:numPr>
          <w:ilvl w:val="0"/>
          <w:numId w:val="79"/>
        </w:numPr>
      </w:pPr>
      <w:r>
        <w:rPr>
          <w:b/>
          <w:bCs/>
        </w:rPr>
        <w:t xml:space="preserve">Bounded Disruption and Policy Stability:</w:t>
      </w:r>
      <w:r>
        <w:t xml:space="preserve"> </w:t>
      </w:r>
      <w:r>
        <w:t xml:space="preserve">Under regularized utility, the RL policy converged within 175–250 training episodes, consuming only</w:t>
      </w:r>
      <w:r>
        <w:t xml:space="preserve"> </w:t>
      </w:r>
      <m:oMath>
        <m:r>
          <m:t>67.2</m:t>
        </m:r>
        <m:r>
          <m:rPr>
            <m:sty m:val="p"/>
          </m:rPr>
          <m:t>%</m:t>
        </m:r>
      </m:oMath>
      <w:r>
        <w:t xml:space="preserve"> </w:t>
      </w:r>
      <w:r>
        <w:t xml:space="preserve">of the allocated budget at</w:t>
      </w:r>
      <w:r>
        <w:t xml:space="preserve"> </w:t>
      </w:r>
      <m:oMath>
        <m:sSub>
          <m:e>
            <m:r>
              <m:t>B</m:t>
            </m:r>
          </m:e>
          <m:sub>
            <m:r>
              <m:rPr>
                <m:nor/>
                <m:sty m:val="p"/>
              </m:rPr>
              <m:t>ops</m:t>
            </m:r>
          </m:sub>
        </m:sSub>
        <m:r>
          <m:rPr>
            <m:sty m:val="p"/>
          </m:rPr>
          <m:t>=</m:t>
        </m:r>
        <m:r>
          <m:t>18</m:t>
        </m:r>
      </m:oMath>
      <w:r>
        <w:t xml:space="preserve"> </w:t>
      </w:r>
      <w:r>
        <w:t xml:space="preserve">once all forbidden paths were fully neutralized.</w:t>
      </w:r>
    </w:p>
    <w:bookmarkEnd w:id="151"/>
    <w:bookmarkEnd w:id="152"/>
    <w:bookmarkEnd w:id="153"/>
    <w:bookmarkStart w:id="154" w:name="ch:conclusion"/>
    <w:p>
      <w:pPr>
        <w:pStyle w:val="Heading1"/>
        <w:pageBreakBefore/>
        <w:spacing w:before="360" w:after="240"/>
      </w:pPr>
      <w:r>
        <w:t xml:space="preserve">Conclusion, Limitations, and Future Horizons</w:t>
      </w:r>
    </w:p>
    <w:bookmarkStart w:id="155"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56" w:name="theoretical-contributions"/>
    <w:p>
      <w:pPr>
        <w:pStyle w:val="Heading3"/>
      </w:pPr>
      <w:r>
        <w:t xml:space="preserve">Theoretical Contributions</w:t>
      </w:r>
    </w:p>
    <w:p>
      <w:pPr>
        <w:keepNext/>
        <w:numPr>
          <w:ilvl w:val="0"/>
          <w:numId w:val="80"/>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80"/>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80"/>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w:t>
      </w:r>
      <w:r>
        <w:t xml:space="preserve">, addressing the game-theoretic access interdiction challenges studied in Active Directory defense </w:t>
      </w:r>
      <w:r>
        <w:t xml:space="preserve">(Guo et al. 2023)</w:t>
      </w:r>
      <w:r>
        <w:t xml:space="preserve">.</w:t>
      </w:r>
    </w:p>
    <w:bookmarkEnd w:id="154"/>
    <w:bookmarkStart w:id="157" w:name="methodological-contributions"/>
    <w:p>
      <w:pPr>
        <w:pStyle w:val="Heading3"/>
      </w:pPr>
      <w:r>
        <w:t xml:space="preserve">Methodological Contributions</w:t>
      </w:r>
    </w:p>
    <w:p>
      <w:pPr>
        <w:numPr>
          <w:ilvl w:val="0"/>
          <w:numId w:val="81"/>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81"/>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81"/>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55"/>
    <w:bookmarkStart w:id="158" w:name="empirical-contributions"/>
    <w:p>
      <w:pPr>
        <w:pStyle w:val="Heading3"/>
      </w:pPr>
      <w:r>
        <w:t xml:space="preserve">Empirical Contributions</w:t>
      </w:r>
    </w:p>
    <w:p>
      <w:pPr>
        <w:numPr>
          <w:ilvl w:val="0"/>
          <w:numId w:val="82"/>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82"/>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82"/>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82"/>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56"/>
    <w:bookmarkStart w:id="159" w:name="architectural-contributions"/>
    <w:p>
      <w:pPr>
        <w:pStyle w:val="Heading3"/>
      </w:pPr>
      <w:r>
        <w:t xml:space="preserve">Architectural Contributions</w:t>
      </w:r>
    </w:p>
    <w:p>
      <w:pPr>
        <w:numPr>
          <w:ilvl w:val="0"/>
          <w:numId w:val="83"/>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83"/>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57"/>
    <w:bookmarkEnd w:id="158"/>
    <w:bookmarkStart w:id="160"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84"/>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84"/>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84"/>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84"/>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59"/>
    <w:bookmarkStart w:id="161"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5"/>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5"/>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5"/>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5"/>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60"/>
    <w:bookmarkStart w:id="162"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6"/>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6"/>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6"/>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6"/>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61"/>
    <w:bookmarkStart w:id="163"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62"/>
    <w:bookmarkStart w:id="164" w:name="future-research-horizons"/>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7"/>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7"/>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7"/>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7"/>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7"/>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7"/>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63"/>
    <w:bookmarkStart w:id="165"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64"/>
    <w:bookmarkEnd w:id="165"/>
    <w:bookmarkStart w:id="166"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8"/>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8"/>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numPr>
          <w:ilvl w:val="0"/>
          <w:numId w:val="23"/>
        </w:numPr>
      </w:pPr>
      <w:r>
        <w:t xml:space="preserve">where</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m:t>
        </m:r>
        <m:sSubSup>
          <m:e>
            <m:r>
              <m:t>L</m:t>
            </m:r>
          </m:e>
          <m:sub>
            <m:r>
              <m:t>σ</m:t>
            </m:r>
          </m:sub>
          <m:sup>
            <m:r>
              <m:t>L</m:t>
            </m:r>
          </m:sup>
        </m:sSubSup>
        <m:sSub>
          <m:e>
            <m:r>
              <m:t>α</m:t>
            </m:r>
          </m:e>
          <m:sub>
            <m:r>
              <m:rPr>
                <m:sty m:val="p"/>
              </m:rPr>
              <m:t>max</m:t>
            </m:r>
          </m:sub>
        </m:sSub>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t>
      </w:r>
      <w:r>
        <w:t xml:space="preserve">bounds the cyclical feedback gradient. When</w:t>
      </w:r>
      <w:r>
        <w:t xml:space="preserve"> </w:t>
      </w:r>
      <m:oMath>
        <m:r>
          <m:t>G</m:t>
        </m:r>
      </m:oMath>
      <w:r>
        <w:t xml:space="preserve"> </w:t>
      </w:r>
      <w:r>
        <w:t xml:space="preserve">contains no self-directed cycles of length</w:t>
      </w:r>
      <w:r>
        <w:t xml:space="preserve"> </w:t>
      </w:r>
      <m:oMath>
        <m:r>
          <m:rPr>
            <m:sty m:val="p"/>
          </m:rPr>
          <m:t>≤</m:t>
        </m:r>
        <m:r>
          <m:t>L</m:t>
        </m:r>
      </m:oMath>
      <w:r>
        <w:t xml:space="preserve"> </w:t>
      </w:r>
      <w:r>
        <w:t xml:space="preserve">involving</w:t>
      </w:r>
      <w:r>
        <w:t xml:space="preserve"> </w:t>
      </w:r>
      <m:oMath>
        <m:r>
          <m:t>v</m:t>
        </m:r>
      </m:oMath>
      <w:r>
        <w:t xml:space="preserve">,</w:t>
      </w:r>
      <w:r>
        <w:t xml:space="preserve"> </w:t>
      </w:r>
      <m:oMath>
        <m:sSub>
          <m:e>
            <m:r>
              <m:rPr>
                <m:scr m:val="script"/>
                <m:sty m:val="p"/>
              </m:rPr>
              <m:t>J</m:t>
            </m:r>
          </m:e>
          <m:sub>
            <m:r>
              <m:rPr>
                <m:nor/>
                <m:sty m:val="p"/>
              </m:rPr>
              <m:t>graph</m:t>
            </m:r>
          </m:sub>
        </m:sSub>
        <m:r>
          <m:rPr>
            <m:sty m:val="p"/>
          </m:rPr>
          <m:t>(</m:t>
        </m:r>
        <m:r>
          <m:t>v</m:t>
        </m:r>
        <m:r>
          <m:rPr>
            <m:sty m:val="p"/>
          </m:rPr>
          <m:t>)</m:t>
        </m:r>
        <m:r>
          <m:rPr>
            <m:sty m:val="p"/>
          </m:rPr>
          <m:t>=</m:t>
        </m:r>
        <m:r>
          <m:rPr>
            <m:sty m:val="b"/>
          </m:rPr>
          <m:t>0</m:t>
        </m:r>
      </m:oMath>
      <w:r>
        <w:t xml:space="preserve">, yielding the exact lower bound</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Under the spectral condition</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input feature sensitivity is strictly preserved:</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67"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66"/>
    <w:bookmarkStart w:id="168"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Weyl’s perturbation inequality for singular values (Horn &amp; Johnson, 2012):</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Applying the sub-multiplicative property of singular values: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Now, we explicitly bound the operator norm</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At layer 1, since there are no self-loops (</w:t>
      </w:r>
      <m:oMath>
        <m:r>
          <m:t>v</m:t>
        </m:r>
        <m:r>
          <m:rPr>
            <m:sty m:val="p"/>
          </m:rPr>
          <m:t>∉</m:t>
        </m:r>
        <m:r>
          <m:rPr>
            <m:scr m:val="script"/>
            <m:sty m:val="p"/>
          </m:rPr>
          <m:t>N</m:t>
        </m:r>
        <m:r>
          <m:rPr>
            <m:sty m:val="p"/>
          </m:rPr>
          <m:t>(</m:t>
        </m:r>
        <m:r>
          <m:t>v</m:t>
        </m:r>
        <m:r>
          <m:rPr>
            <m:sty m:val="p"/>
          </m:rPr>
          <m:t>)</m:t>
        </m:r>
      </m:oMath>
      <w:r>
        <w:t xml:space="preserve">),</w:t>
      </w:r>
      <w:r>
        <w:t xml:space="preserve"> </w:t>
      </w: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For</w:t>
      </w:r>
      <w:r>
        <w:t xml:space="preserve"> </w:t>
      </w:r>
      <m:oMath>
        <m:r>
          <m:t>L</m:t>
        </m:r>
        <m:r>
          <m:rPr>
            <m:sty m:val="p"/>
          </m:rPr>
          <m:t>=</m:t>
        </m:r>
        <m:r>
          <m:t>2</m:t>
        </m:r>
      </m:oMath>
      <w:r>
        <w:t xml:space="preserve">, applying the chain rule to the second aggregation layer yields:</w:t>
      </w:r>
    </w:p>
    <w:p>
      <w:pPr>
        <w:pStyle w:val="BodyText"/>
      </w:pPr>
      <m:oMathPara>
        <m:oMathParaPr>
          <m:jc m:val="center"/>
        </m:oMathParaPr>
        <m:oMath>
          <m:f>
            <m:fPr>
              <m:type m:val="bar"/>
            </m:fPr>
            <m:num>
              <m:r>
                <m:rPr>
                  <m:sty m:val="p"/>
                </m:rPr>
                <m:t>∂</m:t>
              </m:r>
              <m:sSubSup>
                <m:e>
                  <m:r>
                    <m:t>h</m:t>
                  </m:r>
                </m:e>
                <m:sub>
                  <m:r>
                    <m:t>v</m:t>
                  </m:r>
                </m:sub>
                <m:sup>
                  <m:r>
                    <m:rPr>
                      <m:sty m:val="p"/>
                    </m:rPr>
                    <m:t>(</m:t>
                  </m:r>
                  <m:r>
                    <m:t>2</m:t>
                  </m:r>
                  <m:r>
                    <m:rPr>
                      <m:sty m:val="p"/>
                    </m:rPr>
                    <m:t>)</m:t>
                  </m:r>
                </m:sup>
              </m:sSubSup>
            </m:num>
            <m:den>
              <m:r>
                <m:rPr>
                  <m:sty m:val="p"/>
                </m:rPr>
                <m:t>∂</m:t>
              </m:r>
              <m:sSub>
                <m:e>
                  <m:r>
                    <m:t>x</m:t>
                  </m:r>
                </m:e>
                <m:sub>
                  <m:r>
                    <m:t>v</m:t>
                  </m:r>
                </m:sub>
              </m:sSub>
            </m:den>
          </m:f>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2</m:t>
                      </m:r>
                      <m:r>
                        <m:rPr>
                          <m:sty m:val="p"/>
                        </m:rPr>
                        <m:t>)</m:t>
                      </m:r>
                    </m:sup>
                  </m:sSubSup>
                </m:e>
              </m:nary>
            </m:e>
          </m:nary>
          <m:sSup>
            <m:e>
              <m:r>
                <m:t>σ</m:t>
              </m:r>
            </m:e>
            <m:sup>
              <m:r>
                <m:rPr>
                  <m:sty m:val="p"/>
                </m:rPr>
                <m:t>′</m:t>
              </m:r>
            </m:sup>
          </m:sSup>
          <m:d>
            <m:dPr>
              <m:begChr m:val="("/>
              <m:sepChr m:val=""/>
              <m:endChr m:val=")"/>
              <m:grow/>
            </m:dPr>
            <m:e>
              <m:sSubSup>
                <m:e>
                  <m:r>
                    <m:t>z</m:t>
                  </m:r>
                </m:e>
                <m:sub>
                  <m:r>
                    <m:t>v</m:t>
                  </m:r>
                </m:sub>
                <m:sup>
                  <m:r>
                    <m:rPr>
                      <m:sty m:val="p"/>
                    </m:rPr>
                    <m:t>(</m:t>
                  </m:r>
                  <m:r>
                    <m:t>2</m:t>
                  </m:r>
                  <m:r>
                    <m:rPr>
                      <m:sty m:val="p"/>
                    </m:rPr>
                    <m:t>)</m:t>
                  </m:r>
                </m:sup>
              </m:sSubSup>
            </m:e>
          </m:d>
          <m:sSubSup>
            <m:e>
              <m:r>
                <m:t>W</m:t>
              </m:r>
            </m:e>
            <m:sub>
              <m:r>
                <m:t>r</m:t>
              </m:r>
            </m:sub>
            <m:sup>
              <m:r>
                <m:rPr>
                  <m:sty m:val="p"/>
                </m:rPr>
                <m:t>(</m:t>
              </m:r>
              <m:r>
                <m:t>2</m:t>
              </m:r>
              <m:r>
                <m:rPr>
                  <m:sty m:val="p"/>
                </m:rPr>
                <m:t>)</m:t>
              </m:r>
            </m:sup>
          </m:sSubSup>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oMath>
      </m:oMathPara>
    </w:p>
    <w:p>
      <w:pPr>
        <w:pStyle w:val="FirstParagraph"/>
      </w:pPr>
      <w:r>
        <w:t xml:space="preserve">Expanding</w:t>
      </w:r>
      <w:r>
        <w:t xml:space="preserve"> </w:t>
      </w:r>
      <m:oMath>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r>
          <m:rPr>
            <m:sty m:val="p"/>
          </m:rPr>
          <m:t>=</m:t>
        </m:r>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sSubSup>
          <m:e>
            <m:r>
              <m:t>W</m:t>
            </m:r>
          </m:e>
          <m:sub>
            <m:r>
              <m:rPr>
                <m:nor/>
                <m:sty m:val="p"/>
              </m:rPr>
              <m:t>skip</m:t>
            </m:r>
          </m:sub>
          <m:sup>
            <m:r>
              <m:rPr>
                <m:sty m:val="p"/>
              </m:rPr>
              <m:t>(</m:t>
            </m:r>
            <m:r>
              <m:t>1</m:t>
            </m:r>
            <m:r>
              <m:rPr>
                <m:sty m:val="p"/>
              </m:rPr>
              <m:t>)</m:t>
            </m:r>
          </m:sup>
        </m:sSubSup>
        <m:f>
          <m:fPr>
            <m:type m:val="bar"/>
          </m:fPr>
          <m:num>
            <m:r>
              <m:rPr>
                <m:sty m:val="p"/>
              </m:rPr>
              <m:t>∂</m:t>
            </m:r>
            <m:sSub>
              <m:e>
                <m:r>
                  <m:t>x</m:t>
                </m:r>
              </m:e>
              <m:sub>
                <m:r>
                  <m:t>u</m:t>
                </m:r>
              </m:sub>
            </m:sSub>
          </m:num>
          <m:den>
            <m:r>
              <m:rPr>
                <m:sty m:val="p"/>
              </m:rPr>
              <m:t>∂</m:t>
            </m:r>
            <m:sSub>
              <m:e>
                <m:r>
                  <m:t>x</m:t>
                </m:r>
              </m:e>
              <m:sub>
                <m:r>
                  <m:t>v</m:t>
                </m:r>
              </m:sub>
            </m:sSub>
          </m:den>
        </m:f>
      </m:oMath>
      <w:r>
        <w:t xml:space="preserve">: since</w:t>
      </w:r>
      <w:r>
        <w:t xml:space="preserve"> </w:t>
      </w:r>
      <m:oMath>
        <m:r>
          <m:t>u</m:t>
        </m:r>
        <m:r>
          <m:rPr>
            <m:sty m:val="p"/>
          </m:rPr>
          <m:t>≠</m:t>
        </m:r>
        <m:r>
          <m:t>v</m:t>
        </m:r>
      </m:oMath>
      <w:r>
        <w:t xml:space="preserve">,</w:t>
      </w:r>
      <w:r>
        <w:t xml:space="preserve"> </w:t>
      </w:r>
      <m:oMath>
        <m:f>
          <m:fPr>
            <m:type m:val="bar"/>
          </m:fPr>
          <m:num>
            <m:r>
              <m:rPr>
                <m:sty m:val="p"/>
              </m:rPr>
              <m:t>∂</m:t>
            </m:r>
            <m:sSub>
              <m:e>
                <m:r>
                  <m:t>x</m:t>
                </m:r>
              </m:e>
              <m:sub>
                <m:r>
                  <m:t>u</m:t>
                </m:r>
              </m:sub>
            </m:sSub>
          </m:num>
          <m:den>
            <m:r>
              <m:rPr>
                <m:sty m:val="p"/>
              </m:rPr>
              <m:t>∂</m:t>
            </m:r>
            <m:sSub>
              <m:e>
                <m:r>
                  <m:t>x</m:t>
                </m:r>
              </m:e>
              <m:sub>
                <m:r>
                  <m:t>v</m:t>
                </m:r>
              </m:sub>
            </m:sSub>
          </m:den>
        </m:f>
        <m:r>
          <m:rPr>
            <m:sty m:val="p"/>
          </m:rPr>
          <m:t>=</m:t>
        </m:r>
        <m:r>
          <m:rPr>
            <m:sty m:val="b"/>
          </m:rPr>
          <m:t>0</m:t>
        </m:r>
      </m:oMath>
      <w:r>
        <w:t xml:space="preserve">, and</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nary>
          <m:naryPr>
            <m:chr m:val="∑"/>
            <m:limLoc m:val="undOvr"/>
            <m:subHide m:val="off"/>
            <m:supHide m:val="on"/>
          </m:naryPr>
          <m:sub>
            <m:sSup>
              <m:e>
                <m:r>
                  <m:t>r</m:t>
                </m:r>
              </m:e>
              <m:sup>
                <m:r>
                  <m:rPr>
                    <m:sty m:val="p"/>
                  </m:rPr>
                  <m:t>′</m:t>
                </m:r>
              </m:sup>
            </m:sSup>
            <m:r>
              <m:rPr>
                <m:sty m:val="p"/>
              </m:rPr>
              <m:t>∈</m:t>
            </m:r>
            <m:sSub>
              <m:e>
                <m:r>
                  <m:rPr>
                    <m:scr m:val="script"/>
                    <m:sty m:val="p"/>
                  </m:rPr>
                  <m:t>R</m:t>
                </m:r>
              </m:e>
              <m:sub>
                <m:r>
                  <m:rPr>
                    <m:nor/>
                    <m:sty m:val="p"/>
                  </m:rPr>
                  <m:t>in</m:t>
                </m:r>
              </m:sub>
            </m:sSub>
          </m:sub>
          <m:sup>
            <m:r>
              <m:t>​</m:t>
            </m:r>
          </m:sup>
          <m:e>
            <m:nary>
              <m:naryPr>
                <m:chr m:val="∑"/>
                <m:limLoc m:val="undOvr"/>
                <m:subHide m:val="off"/>
                <m:supHide m:val="on"/>
              </m:naryPr>
              <m:sub>
                <m:r>
                  <m:t>w</m:t>
                </m:r>
                <m:r>
                  <m:rPr>
                    <m:sty m:val="p"/>
                  </m:rPr>
                  <m:t>∈</m:t>
                </m:r>
                <m:sSub>
                  <m:e>
                    <m:r>
                      <m:rPr>
                        <m:scr m:val="script"/>
                        <m:sty m:val="p"/>
                      </m:rPr>
                      <m:t>N</m:t>
                    </m:r>
                  </m:e>
                  <m:sub>
                    <m:sSup>
                      <m:e>
                        <m:r>
                          <m:t>r</m:t>
                        </m:r>
                      </m:e>
                      <m:sup>
                        <m:r>
                          <m:rPr>
                            <m:sty m:val="p"/>
                          </m:rPr>
                          <m:t>′</m:t>
                        </m:r>
                      </m:sup>
                    </m:sSup>
                  </m:sub>
                </m:sSub>
                <m:r>
                  <m:rPr>
                    <m:sty m:val="p"/>
                  </m:rPr>
                  <m:t>(</m:t>
                </m:r>
                <m:r>
                  <m:t>u</m:t>
                </m:r>
                <m:r>
                  <m:rPr>
                    <m:sty m:val="p"/>
                  </m:rPr>
                  <m:t>)</m:t>
                </m:r>
              </m:sub>
              <m:sup>
                <m:r>
                  <m:t>​</m:t>
                </m:r>
              </m:sup>
              <m:e>
                <m:sSubSup>
                  <m:e>
                    <m:r>
                      <m:t>α</m:t>
                    </m:r>
                  </m:e>
                  <m:sub>
                    <m:r>
                      <m:t>u</m:t>
                    </m:r>
                    <m:r>
                      <m:t>w</m:t>
                    </m:r>
                  </m:sub>
                  <m:sup>
                    <m:r>
                      <m:rPr>
                        <m:sty m:val="p"/>
                      </m:rPr>
                      <m:t>(</m:t>
                    </m:r>
                    <m:r>
                      <m:t>1</m:t>
                    </m:r>
                    <m:r>
                      <m:rPr>
                        <m:sty m:val="p"/>
                      </m:rPr>
                      <m:t>)</m:t>
                    </m:r>
                  </m:sup>
                </m:sSubSup>
              </m:e>
            </m:nary>
          </m:e>
        </m:nary>
        <m:sSup>
          <m:e>
            <m:r>
              <m:t>σ</m:t>
            </m:r>
          </m:e>
          <m:sup>
            <m:r>
              <m:rPr>
                <m:sty m:val="p"/>
              </m:rPr>
              <m:t>′</m:t>
            </m:r>
          </m:sup>
        </m:sSup>
        <m:d>
          <m:dPr>
            <m:begChr m:val="("/>
            <m:sepChr m:val=""/>
            <m:endChr m:val=")"/>
            <m:grow/>
          </m:dPr>
          <m:e>
            <m:sSubSup>
              <m:e>
                <m:r>
                  <m:t>z</m:t>
                </m:r>
              </m:e>
              <m:sub>
                <m:r>
                  <m:t>u</m:t>
                </m:r>
              </m:sub>
              <m:sup>
                <m:r>
                  <m:rPr>
                    <m:sty m:val="p"/>
                  </m:rPr>
                  <m:t>(</m:t>
                </m:r>
                <m:r>
                  <m:t>1</m:t>
                </m:r>
                <m:r>
                  <m:rPr>
                    <m:sty m:val="p"/>
                  </m:rPr>
                  <m:t>)</m:t>
                </m:r>
              </m:sup>
            </m:sSubSup>
          </m:e>
        </m:d>
        <m:sSubSup>
          <m:e>
            <m:r>
              <m:t>W</m:t>
            </m:r>
          </m:e>
          <m:sub>
            <m:sSup>
              <m:e>
                <m:r>
                  <m:t>r</m:t>
                </m:r>
              </m:e>
              <m:sup>
                <m:r>
                  <m:rPr>
                    <m:sty m:val="p"/>
                  </m:rPr>
                  <m:t>′</m:t>
                </m:r>
              </m:sup>
            </m:sSup>
          </m:sub>
          <m:sup>
            <m:r>
              <m:rPr>
                <m:sty m:val="p"/>
              </m:rPr>
              <m:t>(</m:t>
            </m:r>
            <m:r>
              <m:t>1</m:t>
            </m:r>
            <m:r>
              <m:rPr>
                <m:sty m:val="p"/>
              </m:rPr>
              <m:t>)</m:t>
            </m:r>
          </m:sup>
        </m:sSubSup>
        <m:f>
          <m:fPr>
            <m:type m:val="bar"/>
          </m:fPr>
          <m:num>
            <m:r>
              <m:rPr>
                <m:sty m:val="p"/>
              </m:rPr>
              <m:t>∂</m:t>
            </m:r>
            <m:sSub>
              <m:e>
                <m:r>
                  <m:t>x</m:t>
                </m:r>
              </m:e>
              <m:sub>
                <m:r>
                  <m:t>w</m:t>
                </m:r>
              </m:sub>
            </m:sSub>
          </m:num>
          <m:den>
            <m:r>
              <m:rPr>
                <m:sty m:val="p"/>
              </m:rPr>
              <m:t>∂</m:t>
            </m:r>
            <m:sSub>
              <m:e>
                <m:r>
                  <m:t>x</m:t>
                </m:r>
              </m:e>
              <m:sub>
                <m:r>
                  <m:t>v</m:t>
                </m:r>
              </m:sub>
            </m:sSub>
          </m:den>
        </m:f>
      </m:oMath>
      <w:r>
        <w:t xml:space="preserve">. The term</w:t>
      </w:r>
      <w:r>
        <w:t xml:space="preserve"> </w:t>
      </w:r>
      <m:oMath>
        <m:f>
          <m:fPr>
            <m:type m:val="bar"/>
          </m:fPr>
          <m:num>
            <m:r>
              <m:rPr>
                <m:sty m:val="p"/>
              </m:rPr>
              <m:t>∂</m:t>
            </m:r>
            <m:sSub>
              <m:e>
                <m:r>
                  <m:t>x</m:t>
                </m:r>
              </m:e>
              <m:sub>
                <m:r>
                  <m:t>w</m:t>
                </m:r>
              </m:sub>
            </m:sSub>
          </m:num>
          <m:den>
            <m:r>
              <m:rPr>
                <m:sty m:val="p"/>
              </m:rPr>
              <m:t>∂</m:t>
            </m:r>
            <m:sSub>
              <m:e>
                <m:r>
                  <m:t>x</m:t>
                </m:r>
              </m:e>
              <m:sub>
                <m:r>
                  <m:t>v</m:t>
                </m:r>
              </m:sub>
            </m:sSub>
          </m:den>
        </m:f>
      </m:oMath>
      <w:r>
        <w:t xml:space="preserve"> </w:t>
      </w:r>
      <w:r>
        <w:t xml:space="preserve">is non-zero (</w:t>
      </w:r>
      <m:oMath>
        <m:sSub>
          <m:e>
            <m:r>
              <m:t>I</m:t>
            </m:r>
          </m:e>
          <m:sub>
            <m:sSub>
              <m:e>
                <m:r>
                  <m:t>d</m:t>
                </m:r>
              </m:e>
              <m:sub>
                <m:r>
                  <m:t>0</m:t>
                </m:r>
              </m:sub>
            </m:sSub>
          </m:sub>
        </m:sSub>
      </m:oMath>
      <w:r>
        <w:t xml:space="preserve">) if and only if</w:t>
      </w:r>
      <w:r>
        <w:t xml:space="preserve"> </w:t>
      </w:r>
      <m:oMath>
        <m:r>
          <m:t>w</m:t>
        </m:r>
        <m:r>
          <m:rPr>
            <m:sty m:val="p"/>
          </m:rPr>
          <m:t>=</m:t>
        </m:r>
        <m:r>
          <m:t>v</m:t>
        </m:r>
      </m:oMath>
      <w:r>
        <w:t xml:space="preserve">, corresponding to a 2-hop directed cycle</w:t>
      </w:r>
      <w:r>
        <w:t xml:space="preserve"> </w:t>
      </w:r>
      <m:oMath>
        <m:r>
          <m:t>v</m:t>
        </m:r>
        <m:r>
          <m:rPr>
            <m:sty m:val="p"/>
          </m:rPr>
          <m:t>→</m:t>
        </m:r>
        <m:r>
          <m:t>u</m:t>
        </m:r>
        <m:r>
          <m:rPr>
            <m:sty m:val="p"/>
          </m:rPr>
          <m:t>→</m:t>
        </m:r>
        <m:r>
          <m:t>v</m:t>
        </m:r>
      </m:oMath>
      <w:r>
        <w:t xml:space="preserve">.</w:t>
      </w:r>
    </w:p>
    <w:p>
      <w:pPr>
        <w:pStyle w:val="BodyText"/>
      </w:pPr>
      <w:r>
        <w:t xml:space="preserve">We therefore distinguish two topological regimes:</w:t>
      </w:r>
    </w:p>
    <w:p>
      <w:pPr>
        <w:numPr>
          <w:ilvl w:val="0"/>
          <w:numId w:val="89"/>
        </w:numPr>
      </w:pPr>
      <w:r>
        <w:rPr>
          <w:b/>
          <w:bCs/>
        </w:rPr>
        <w:t xml:space="preserve">Acyclic Receptive Field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In standard Active Directory permission DAGs (where user accounts possess forward enrollment rights into templates, but certificate templates do not hold outgoing access-control rights over users), no 2-hop cycles terminate back at</w:t>
      </w:r>
      <w:r>
        <w:t xml:space="preserve"> </w:t>
      </w:r>
      <m:oMath>
        <m:r>
          <m:t>v</m:t>
        </m:r>
      </m:oMath>
      <w:r>
        <w:t xml:space="preserve">. Consequently,</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w:t>
      </w:r>
      <w:r>
        <w:t xml:space="preserve">for all</w:t>
      </w:r>
      <w:r>
        <w:t xml:space="preserve"> </w:t>
      </w:r>
      <m:oMath>
        <m:r>
          <m:t>u</m:t>
        </m:r>
        <m:r>
          <m:rPr>
            <m:sty m:val="p"/>
          </m:rPr>
          <m:t>∈</m:t>
        </m:r>
        <m:r>
          <m:rPr>
            <m:scr m:val="script"/>
            <m:sty m:val="p"/>
          </m:rPr>
          <m:t>N</m:t>
        </m:r>
        <m:r>
          <m:rPr>
            <m:sty m:val="p"/>
          </m:rPr>
          <m:t>(</m:t>
        </m:r>
        <m:r>
          <m:t>v</m:t>
        </m:r>
        <m:r>
          <m:rPr>
            <m:sty m:val="p"/>
          </m:rPr>
          <m:t>)</m:t>
        </m:r>
      </m:oMath>
      <w:r>
        <w:t xml:space="preserve">, establishing:</w:t>
      </w:r>
    </w:p>
    <w:p>
      <w:pPr>
        <w:pStyle w:val="BodyText"/>
      </w:pPr>
      <m:oMathPara>
        <m:oMathParaPr>
          <m:jc m:val="center"/>
        </m:oMathParaPr>
        <m:oMath>
          <m:sSub>
            <m:e>
              <m:r>
                <m:rPr>
                  <m:scr m:val="script"/>
                  <m:sty m:val="p"/>
                </m:rPr>
                <m:t>J</m:t>
              </m:r>
            </m:e>
            <m:sub>
              <m:r>
                <m:rPr>
                  <m:nor/>
                  <m:sty m:val="p"/>
                </m:rPr>
                <m:t>graph</m:t>
              </m:r>
            </m:sub>
          </m:sSub>
          <m:r>
            <m:rPr>
              <m:sty m:val="p"/>
            </m:rPr>
            <m:t>(</m:t>
          </m:r>
          <m:r>
            <m:t>v</m:t>
          </m:r>
          <m:r>
            <m:rPr>
              <m:sty m:val="p"/>
            </m:rPr>
            <m:t>)</m:t>
          </m:r>
          <m:r>
            <m:rPr>
              <m:sty m:val="p"/>
            </m:rPr>
            <m:t>=</m:t>
          </m:r>
          <m:r>
            <m:rPr>
              <m:sty m:val="b"/>
            </m:rPr>
            <m:t>0</m:t>
          </m:r>
          <m:r>
            <m:rPr>
              <m:sty m:val="p"/>
            </m:rPr>
            <m:t>⟹</m:t>
          </m:r>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The lower bound holds with exact equality.</w:t>
      </w:r>
    </w:p>
    <w:p>
      <w:pPr>
        <w:numPr>
          <w:ilvl w:val="0"/>
          <w:numId w:val="89"/>
        </w:numPr>
      </w:pPr>
      <w:r>
        <w:rPr>
          <w:b/>
          <w:bCs/>
        </w:rPr>
        <w:t xml:space="preserve">Cyclical Graphs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By the sub-multiplicativity of induced operator norms and the Lipschitz continuity of the activation function (</w:t>
      </w:r>
      <m:oMath>
        <m:r>
          <m:rPr>
            <m:sty m:val="p"/>
          </m:rPr>
          <m:t>∥</m:t>
        </m:r>
        <m:sSup>
          <m:e>
            <m:r>
              <m:t>σ</m:t>
            </m:r>
          </m:e>
          <m:sup>
            <m:r>
              <m:rPr>
                <m:sty m:val="p"/>
              </m:rPr>
              <m:t>′</m:t>
            </m:r>
          </m:sup>
        </m:sSup>
        <m:r>
          <m:rPr>
            <m:sty m:val="p"/>
          </m:rPr>
          <m:t>∥</m:t>
        </m:r>
        <m:r>
          <m:rPr>
            <m:sty m:val="p"/>
          </m:rPr>
          <m:t>≤</m:t>
        </m:r>
        <m:sSub>
          <m:e>
            <m:r>
              <m:t>L</m:t>
            </m:r>
          </m:e>
          <m:sub>
            <m:r>
              <m:t>σ</m:t>
            </m:r>
          </m:sub>
        </m:sSub>
        <m:r>
          <m:rPr>
            <m:sty m:val="p"/>
          </m:rPr>
          <m:t>=</m:t>
        </m:r>
        <m:r>
          <m:t>1</m:t>
        </m:r>
      </m:oMath>
      <w:r>
        <w:t xml:space="preserve"> </w:t>
      </w:r>
      <w:r>
        <w:t xml:space="preserve">for ELU/ReLU):</w:t>
      </w:r>
    </w:p>
    <w:p>
      <w:pPr>
        <w:pStyle w:val="BodyText"/>
      </w:pPr>
      <m:oMathPara>
        <m:oMathParaPr>
          <m:jc m:val="center"/>
        </m:oMathParaPr>
        <m:oMath>
          <m:eqArr>
            <m:e>
              <m:r>
                <m:rPr>
                  <m:sty m:val="p"/>
                </m:rPr>
                <m:t>∥</m:t>
              </m:r>
              <m:sSub>
                <m:e>
                  <m:r>
                    <m:rPr>
                      <m:scr m:val="script"/>
                      <m:sty m:val="p"/>
                    </m:rPr>
                    <m:t>J</m:t>
                  </m:r>
                </m:e>
                <m:sub>
                  <m:r>
                    <m:rPr>
                      <m:nor/>
                      <m:sty m:val="p"/>
                    </m:rPr>
                    <m:t>graph</m:t>
                  </m:r>
                </m:sub>
              </m:sSub>
              <m:r>
                <m:rPr>
                  <m:sty m:val="p"/>
                </m:rPr>
                <m:t>(</m:t>
              </m:r>
              <m:r>
                <m:t>v</m:t>
              </m:r>
              <m:r>
                <m:rPr>
                  <m:sty m:val="p"/>
                </m:rPr>
                <m:t>)</m:t>
              </m:r>
              <m:r>
                <m:rPr>
                  <m:sty m:val="p"/>
                </m:rPr>
                <m:t>∥</m:t>
              </m:r>
              <m:r>
                <m:t>&amp;</m:t>
              </m:r>
              <m:r>
                <m:rPr>
                  <m:sty m:val="p"/>
                </m:rPr>
                <m:t>≤</m:t>
              </m:r>
              <m:sSubSup>
                <m:e>
                  <m:r>
                    <m:t>L</m:t>
                  </m:r>
                </m:e>
                <m:sub>
                  <m:r>
                    <m:t>σ</m:t>
                  </m:r>
                </m:sub>
                <m:sup>
                  <m:r>
                    <m:t>2</m:t>
                  </m:r>
                </m:sup>
              </m:sSubSup>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sSubSup>
                <m:e>
                  <m:r>
                    <m:t>α</m:t>
                  </m:r>
                </m:e>
                <m:sub>
                  <m:r>
                    <m:t>u</m:t>
                  </m:r>
                  <m:r>
                    <m:t>v</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
              <m:r>
                <m:t>&amp;</m:t>
              </m:r>
              <m:r>
                <m:rPr>
                  <m:sty m:val="p"/>
                </m:rPr>
                <m:t>≤</m:t>
              </m:r>
              <m:sSubSup>
                <m:e>
                  <m:r>
                    <m:t>L</m:t>
                  </m:r>
                </m:e>
                <m:sub>
                  <m:r>
                    <m:t>σ</m:t>
                  </m:r>
                </m:sub>
                <m:sup>
                  <m:r>
                    <m:t>2</m:t>
                  </m:r>
                </m:sup>
              </m:sSubSup>
              <m:d>
                <m:dPr>
                  <m:begChr m:val="("/>
                  <m:sepChr m:val=""/>
                  <m:endChr m:val=")"/>
                  <m:grow/>
                </m:dPr>
                <m:e>
                  <m:limLow>
                    <m:e>
                      <m:r>
                        <m:rPr>
                          <m:sty m:val="p"/>
                        </m:rPr>
                        <m:t>max</m:t>
                      </m:r>
                    </m:e>
                    <m:lim>
                      <m:r>
                        <m:t>u</m:t>
                      </m:r>
                      <m:r>
                        <m:rPr>
                          <m:sty m:val="p"/>
                        </m:rPr>
                        <m:t>∈</m:t>
                      </m:r>
                      <m:r>
                        <m:rPr>
                          <m:scr m:val="script"/>
                          <m:sty m:val="p"/>
                        </m:rPr>
                        <m:t>N</m:t>
                      </m:r>
                      <m:r>
                        <m:rPr>
                          <m:sty m:val="p"/>
                        </m:rPr>
                        <m:t>(</m:t>
                      </m:r>
                      <m:r>
                        <m:t>v</m:t>
                      </m:r>
                      <m:r>
                        <m:rPr>
                          <m:sty m:val="p"/>
                        </m:rPr>
                        <m:t>)</m:t>
                      </m:r>
                    </m:lim>
                  </m:limLow>
                  <m:sSubSup>
                    <m:e>
                      <m:r>
                        <m:t>α</m:t>
                      </m:r>
                    </m:e>
                    <m:sub>
                      <m:r>
                        <m:t>u</m:t>
                      </m:r>
                      <m:r>
                        <m:t>v</m:t>
                      </m:r>
                    </m:sub>
                    <m:sup>
                      <m:r>
                        <m:rPr>
                          <m:sty m:val="p"/>
                        </m:rPr>
                        <m:t>(</m:t>
                      </m:r>
                      <m:r>
                        <m:t>1</m:t>
                      </m:r>
                      <m:r>
                        <m:rPr>
                          <m:sty m:val="p"/>
                        </m:rPr>
                        <m:t>)</m:t>
                      </m:r>
                    </m:sup>
                  </m:sSubSup>
                </m:e>
              </m:d>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e>
            <m:e>
              <m:r>
                <m:t>&amp;</m:t>
              </m:r>
              <m:r>
                <m:rPr>
                  <m:sty m:val="p"/>
                </m:rPr>
                <m:t>=</m:t>
              </m:r>
              <m:sSubSup>
                <m:e>
                  <m:r>
                    <m:t>α</m:t>
                  </m:r>
                </m:e>
                <m:sub>
                  <m:r>
                    <m:rPr>
                      <m:sty m:val="p"/>
                    </m:rPr>
                    <m:t>max</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qArr>
        </m:oMath>
      </m:oMathPara>
    </w:p>
    <w:p>
      <w:pPr>
        <w:numPr>
          <w:ilvl w:val="0"/>
          <w:numId w:val="23"/>
        </w:numPr>
      </w:pPr>
      <w:r>
        <w:t xml:space="preserve">where</w:t>
      </w:r>
      <w:r>
        <w:t xml:space="preserve"> </w:t>
      </w:r>
      <m:oMath>
        <m:sSubSup>
          <m:e>
            <m:r>
              <m:t>α</m:t>
            </m:r>
          </m:e>
          <m:sub>
            <m:r>
              <m:rPr>
                <m:sty m:val="p"/>
              </m:rPr>
              <m:t>max</m:t>
            </m:r>
          </m:sub>
          <m:sup>
            <m:r>
              <m:rPr>
                <m:sty m:val="p"/>
              </m:rPr>
              <m:t>(</m:t>
            </m:r>
            <m:r>
              <m:t>1</m:t>
            </m:r>
            <m:r>
              <m:rPr>
                <m:sty m:val="p"/>
              </m:rPr>
              <m:t>)</m:t>
            </m:r>
          </m:sup>
        </m:sSubSup>
        <m:r>
          <m:rPr>
            <m:sty m:val="p"/>
          </m:rPr>
          <m:t>=</m:t>
        </m:r>
        <m:sSub>
          <m:e>
            <m:r>
              <m:rPr>
                <m:sty m:val="p"/>
              </m:rPr>
              <m:t>max</m:t>
            </m:r>
          </m:e>
          <m:sub>
            <m:r>
              <m:t>u</m:t>
            </m:r>
            <m:r>
              <m:rPr>
                <m:sty m:val="p"/>
              </m:rPr>
              <m:t>∈</m:t>
            </m:r>
            <m:r>
              <m:rPr>
                <m:scr m:val="script"/>
                <m:sty m:val="p"/>
              </m:rPr>
              <m:t>N</m:t>
            </m:r>
            <m:r>
              <m:rPr>
                <m:sty m:val="p"/>
              </m:rPr>
              <m:t>(</m:t>
            </m:r>
            <m:r>
              <m:t>v</m:t>
            </m:r>
            <m:r>
              <m:rPr>
                <m:sty m:val="p"/>
              </m:rPr>
              <m:t>)</m:t>
            </m:r>
          </m:sub>
        </m:sSub>
        <m:sSubSup>
          <m:e>
            <m:r>
              <m:t>α</m:t>
            </m:r>
          </m:e>
          <m:sub>
            <m:r>
              <m:t>u</m:t>
            </m:r>
            <m:r>
              <m:t>v</m:t>
            </m:r>
          </m:sub>
          <m:sup>
            <m:r>
              <m:rPr>
                <m:sty m:val="p"/>
              </m:rPr>
              <m:t>(</m:t>
            </m:r>
            <m:r>
              <m:t>1</m:t>
            </m:r>
            <m:r>
              <m:rPr>
                <m:sty m:val="p"/>
              </m:rPr>
              <m:t>)</m:t>
            </m:r>
          </m:sup>
        </m:sSubSup>
        <m:r>
          <m:rPr>
            <m:sty m:val="p"/>
          </m:rPr>
          <m:t>≤</m:t>
        </m:r>
        <m:r>
          <m:t>1</m:t>
        </m:r>
      </m:oMath>
      <w:r>
        <w:t xml:space="preserve">. Under standard spectral scaling or weight regularization where the skip connection singular values satisfy</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sSubSup>
          <m:e>
            <m:r>
              <m:t>α</m:t>
            </m:r>
          </m:e>
          <m:sub>
            <m:r>
              <m:rPr>
                <m:sty m:val="p"/>
              </m:rPr>
              <m:t>max</m:t>
            </m:r>
          </m:sub>
          <m:sup>
            <m:r>
              <m:rPr>
                <m:sty m:val="p"/>
              </m:rPr>
              <m:t>(</m:t>
            </m:r>
            <m:r>
              <m:t>1</m:t>
            </m:r>
            <m:r>
              <m:rPr>
                <m:sty m:val="p"/>
              </m:rPr>
              <m:t>)</m:t>
            </m:r>
          </m:sup>
        </m:sSubSup>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we strictly establish:</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bookmarkEnd w:id="167"/>
    <w:bookmarkStart w:id="169"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90"/>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90"/>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68"/>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69"/>
    <w:bookmarkStart w:id="170"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91"/>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91"/>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92"/>
        </w:numPr>
      </w:pPr>
      <m:oMath>
        <m:r>
          <m:rPr>
            <m:nor/>
            <m:sty m:val="p"/>
          </m:rPr>
          <m:t>MPAI</m:t>
        </m:r>
        <m:r>
          <m:rPr>
            <m:sty m:val="p"/>
          </m:rPr>
          <m:t>∈</m:t>
        </m:r>
        <m:r>
          <m:rPr>
            <m:nor/>
            <m:sty m:val="p"/>
          </m:rPr>
          <m:t>NP</m:t>
        </m:r>
      </m:oMath>
      <w:r>
        <w:t xml:space="preserve">, and</w:t>
      </w:r>
    </w:p>
    <w:p>
      <w:pPr>
        <w:numPr>
          <w:ilvl w:val="0"/>
          <w:numId w:val="92"/>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71"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93"/>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93"/>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93"/>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70"/>
    <w:bookmarkStart w:id="172" w:name="X3bab4d3de5459ac44503a5bebcc181b452c0fad"/>
    <w:p>
      <w:pPr>
        <w:pStyle w:val="Heading5"/>
      </w:pPr>
      <w:r>
        <w:t xml:space="preserve">Part 2: Polynomial-Time Reduction from Directed Multiway Cut.</w:t>
      </w:r>
    </w:p>
    <w:p>
      <w:pPr>
        <w:pStyle w:val="FirstParagraph"/>
      </w:pPr>
      <w:r>
        <w:t xml:space="preserve">While the classical Multiterminal Cut problem on undirected graphs was proven NP-complete for</w:t>
      </w:r>
      <w:r>
        <w:t xml:space="preserve"> </w:t>
      </w:r>
      <m:oMath>
        <m:r>
          <m:t>k</m:t>
        </m:r>
        <m:r>
          <m:rPr>
            <m:sty m:val="p"/>
          </m:rPr>
          <m:t>≥</m:t>
        </m:r>
        <m:r>
          <m:t>3</m:t>
        </m:r>
      </m:oMath>
      <w:r>
        <w:t xml:space="preserve"> </w:t>
      </w:r>
      <w:r>
        <w:t xml:space="preserve">by Dahlhaus et al. (1994) </w:t>
      </w:r>
      <w:r>
        <w:t xml:space="preserve">(Dahlhaus et al. 1994)</w:t>
      </w:r>
      <w:r>
        <w:t xml:space="preserve"> </w:t>
      </w:r>
      <w:r>
        <w:t xml:space="preserve">(and polynomial-time solvable for</w:t>
      </w:r>
      <w:r>
        <w:t xml:space="preserve"> </w:t>
      </w:r>
      <m:oMath>
        <m:r>
          <m:t>k</m:t>
        </m:r>
        <m:r>
          <m:rPr>
            <m:sty m:val="p"/>
          </m:rPr>
          <m:t>=</m:t>
        </m:r>
        <m:r>
          <m:t>2</m:t>
        </m:r>
      </m:oMath>
      <w:r>
        <w:t xml:space="preserve"> </w:t>
      </w:r>
      <w:r>
        <w:t xml:space="preserve">via standard min-cut algorithms), enterprise identity attack graphs are directed and asymmetric. We therefore base our reduction on the</w:t>
      </w:r>
      <w:r>
        <w:t xml:space="preserve"> </w:t>
      </w:r>
      <w:r>
        <w:rPr>
          <w:b/>
          <w:bCs/>
        </w:rPr>
        <w:t xml:space="preserve">Directed Multiway Cut</w:t>
      </w:r>
      <w:r>
        <w:t xml:space="preserve"> </w:t>
      </w:r>
      <w:r>
        <w:t xml:space="preserve">problem, which was proven NP-complete even for</w:t>
      </w:r>
      <w:r>
        <w:t xml:space="preserve"> </w:t>
      </w:r>
      <m:oMath>
        <m:r>
          <m:t>k</m:t>
        </m:r>
        <m:r>
          <m:rPr>
            <m:sty m:val="p"/>
          </m:rPr>
          <m:t>≥</m:t>
        </m:r>
        <m:r>
          <m:t>2</m:t>
        </m:r>
      </m:oMath>
      <w:r>
        <w:t xml:space="preserve"> </w:t>
      </w:r>
      <w:r>
        <w:t xml:space="preserve">by Garg, Vazirani, and Yannakakis (1994)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94"/>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94"/>
        </w:numPr>
      </w:pPr>
      <w:r>
        <w:rPr>
          <w:b/>
          <w:bCs/>
        </w:rPr>
        <w:t xml:space="preserve">Edge and Cost Construction:</w:t>
      </w:r>
    </w:p>
    <w:p>
      <w:pPr>
        <w:numPr>
          <w:ilvl w:val="1"/>
          <w:numId w:val="95"/>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6"/>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6"/>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6"/>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6"/>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95"/>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94"/>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94"/>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71"/>
    <w:bookmarkStart w:id="173" w:name="equivalence-of-solutions"/>
    <w:p>
      <w:pPr>
        <w:pStyle w:val="Heading5"/>
      </w:pPr>
      <w:r>
        <w:t xml:space="preserve">Equivalence of Solutions:</w:t>
      </w:r>
    </w:p>
    <w:p>
      <w:pPr>
        <w:numPr>
          <w:ilvl w:val="0"/>
          <w:numId w:val="97"/>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7"/>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72"/>
    <w:bookmarkStart w:id="174" w:name="refs"/>
    <w:bookmarkStart w:id="175"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73"/>
    <w:bookmarkStart w:id="176"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6">
        <w:r>
          <w:rPr>
            <w:rStyle w:val="Hyperlink"/>
          </w:rPr>
          <w:t xml:space="preserve">https://github.com/GhostPack/PSPKIAudit</w:t>
        </w:r>
      </w:hyperlink>
      <w:r>
        <w:t xml:space="preserve">.</w:t>
      </w:r>
    </w:p>
    <w:bookmarkEnd w:id="174"/>
    <w:bookmarkStart w:id="177" w:name="ref-feynman2024ekuwu"/>
    <w:p>
      <w:pPr>
        <w:pStyle w:val="Bibliography"/>
      </w:pPr>
      <w:r>
        <w:t xml:space="preserve">Bollinger, Justin. 2024.</w:t>
      </w:r>
      <w:r>
        <w:t xml:space="preserve"> </w:t>
      </w:r>
      <w:r>
        <w:t xml:space="preserve">“</w:t>
      </w:r>
      <w:r>
        <w:t xml:space="preserve">EKUwu</w:t>
      </w:r>
      <w:r>
        <w:t xml:space="preserve">: Not Just Another</w:t>
      </w:r>
      <w:r>
        <w:t xml:space="preserve"> </w:t>
      </w:r>
      <w:r>
        <w:t xml:space="preserve">AD CS</w:t>
      </w:r>
      <w:r>
        <w:t xml:space="preserve"> </w:t>
      </w:r>
      <w:r>
        <w:t xml:space="preserve">Vulnerability.”</w:t>
      </w:r>
      <w:r>
        <w:t xml:space="preserve"> </w:t>
      </w:r>
      <w:r>
        <w:rPr>
          <w:i/>
          <w:iCs/>
        </w:rPr>
        <w:t xml:space="preserve">TrustedSec Research Technical Advisory</w:t>
      </w:r>
      <w:r>
        <w:t xml:space="preserve">.</w:t>
      </w:r>
      <w:r>
        <w:t xml:space="preserve"> </w:t>
      </w:r>
      <w:hyperlink r:id="rId27">
        <w:r>
          <w:rPr>
            <w:rStyle w:val="Hyperlink"/>
          </w:rPr>
          <w:t xml:space="preserve">https://trustedsec.com/blog/ekuwu-not-just-another-ad-cs-vulnerability</w:t>
        </w:r>
      </w:hyperlink>
      <w:r>
        <w:t xml:space="preserve">.</w:t>
      </w:r>
    </w:p>
    <w:bookmarkEnd w:id="175"/>
    <w:bookmarkStart w:id="178"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76"/>
    <w:bookmarkStart w:id="179"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77"/>
    <w:bookmarkStart w:id="180" w:name="ref-dahlstrm2000multiway"/>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78"/>
    <w:bookmarkStart w:id="181"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79"/>
    <w:bookmarkStart w:id="182"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80"/>
    <w:bookmarkStart w:id="183"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81"/>
    <w:bookmarkStart w:id="184" w:name="ref-goel2025coevolutionary"/>
    <w:p>
      <w:pPr>
        <w:pStyle w:val="Bibliography"/>
      </w:pPr>
      <w:r>
        <w:t xml:space="preserve">Goel, Abhinav, Muhammad Ahmad, J. Moore, and Mingyu Guo. 2025.</w:t>
      </w:r>
      <w:r>
        <w:t xml:space="preserve"> </w:t>
      </w:r>
      <w:r>
        <w:t xml:space="preserve">“Co-Evolutionary Defence of Active Directory Attack Graphs via</w:t>
      </w:r>
      <w:r>
        <w:t xml:space="preserve"> </w:t>
      </w:r>
      <w:r>
        <w:t xml:space="preserve">GNN</w:t>
      </w:r>
      <w:r>
        <w:t xml:space="preserve">-Approximated Dynamic Programming.”</w:t>
      </w:r>
      <w:r>
        <w:t xml:space="preserve"> </w:t>
      </w:r>
      <w:r>
        <w:rPr>
          <w:i/>
          <w:iCs/>
        </w:rPr>
        <w:t xml:space="preserve">arXiv Preprint arXiv:2505.11710</w:t>
      </w:r>
      <w:r>
        <w:t xml:space="preserve">.</w:t>
      </w:r>
    </w:p>
    <w:bookmarkEnd w:id="182"/>
    <w:bookmarkStart w:id="185" w:name="ref-guo2023scalable"/>
    <w:p>
      <w:pPr>
        <w:pStyle w:val="Bibliography"/>
      </w:pPr>
      <w:r>
        <w:t xml:space="preserve">Guo, Mingyu, Jiaming Ward, Aneta Neumann, Frank Neumann, and Hung Nguyen. 2023.</w:t>
      </w:r>
      <w:r>
        <w:t xml:space="preserve"> </w:t>
      </w:r>
      <w:r>
        <w:t xml:space="preserve">“Scalable Edge Blocking Algorithms for Defending Active Directory Style Attack Graphs.”</w:t>
      </w:r>
      <w:r>
        <w:t xml:space="preserve"> </w:t>
      </w:r>
      <w:r>
        <w:rPr>
          <w:i/>
          <w:iCs/>
        </w:rPr>
        <w:t xml:space="preserve">Proceedings of the AAAI Conference on Artificial Intelligence</w:t>
      </w:r>
      <w:r>
        <w:t xml:space="preserve"> </w:t>
      </w:r>
      <w:r>
        <w:t xml:space="preserve">37: 5649–56.</w:t>
      </w:r>
      <w:r>
        <w:t xml:space="preserve"> </w:t>
      </w:r>
      <w:hyperlink r:id="rId28">
        <w:r>
          <w:rPr>
            <w:rStyle w:val="Hyperlink"/>
          </w:rPr>
          <w:t xml:space="preserve">https://doi.org/10.1609/aaai.v37i5.25702</w:t>
        </w:r>
      </w:hyperlink>
      <w:r>
        <w:t xml:space="preserve">.</w:t>
      </w:r>
    </w:p>
    <w:bookmarkEnd w:id="183"/>
    <w:bookmarkStart w:id="186"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84"/>
    <w:bookmarkStart w:id="187"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85"/>
    <w:bookmarkStart w:id="188"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86"/>
    <w:bookmarkStart w:id="189"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87"/>
    <w:bookmarkStart w:id="190"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29">
        <w:r>
          <w:rPr>
            <w:rStyle w:val="Hyperlink"/>
          </w:rPr>
          <w:t xml:space="preserve">https://posts.specterops.io/adcs-esc13-abuse-of-certificate-templates-with-issuance-policies-53457a4e613b</w:t>
        </w:r>
      </w:hyperlink>
      <w:r>
        <w:t xml:space="preserve">.</w:t>
      </w:r>
    </w:p>
    <w:bookmarkEnd w:id="188"/>
    <w:bookmarkStart w:id="191" w:name="ref-alldritt2023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30">
        <w:r>
          <w:rPr>
            <w:rStyle w:val="Hyperlink"/>
          </w:rPr>
          <w:t xml:space="preserve">https://github.com/ly4k/Certipy</w:t>
        </w:r>
      </w:hyperlink>
      <w:r>
        <w:t xml:space="preserve">.</w:t>
      </w:r>
    </w:p>
    <w:bookmarkEnd w:id="189"/>
    <w:bookmarkStart w:id="192"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31">
        <w:r>
          <w:rPr>
            <w:rStyle w:val="Hyperlink"/>
          </w:rPr>
          <w:t xml:space="preserve">https://github.com/Orange-Cyberdefense/GOAD</w:t>
        </w:r>
      </w:hyperlink>
      <w:r>
        <w:t xml:space="preserve">.</w:t>
      </w:r>
    </w:p>
    <w:bookmarkEnd w:id="190"/>
    <w:bookmarkStart w:id="193"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91"/>
    <w:bookmarkStart w:id="194"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192"/>
    <w:bookmarkStart w:id="195"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193"/>
    <w:bookmarkStart w:id="196"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194"/>
    <w:bookmarkStart w:id="197"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195"/>
    <w:bookmarkStart w:id="198"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2">
        <w:r>
          <w:rPr>
            <w:rStyle w:val="Hyperlink"/>
          </w:rPr>
          <w:t xml:space="preserve">https://github.com/BloodHoundAD/BloodHound</w:t>
        </w:r>
      </w:hyperlink>
      <w:r>
        <w:t xml:space="preserve">.</w:t>
      </w:r>
    </w:p>
    <w:bookmarkEnd w:id="196"/>
    <w:bookmarkStart w:id="199"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197"/>
    <w:bookmarkStart w:id="200"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33">
        <w:r>
          <w:rPr>
            <w:rStyle w:val="Hyperlink"/>
          </w:rPr>
          <w:t xml:space="preserve">https://posts.specterops.io/certified-pre-owned-d95910965cd2</w:t>
        </w:r>
      </w:hyperlink>
      <w:r>
        <w:t xml:space="preserve">.</w:t>
      </w:r>
    </w:p>
    <w:bookmarkEnd w:id="198"/>
    <w:bookmarkStart w:id="201"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199"/>
    <w:bookmarkStart w:id="202"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200"/>
    <w:bookmarkStart w:id="203"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201"/>
    <w:bookmarkStart w:id="204"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202"/>
    <w:bookmarkStart w:id="205"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34">
        <w:r>
          <w:rPr>
            <w:rStyle w:val="Hyperlink"/>
          </w:rPr>
          <w:t xml:space="preserve">https://www.rfc-editor.org/rfc/rfc4556</w:t>
        </w:r>
      </w:hyperlink>
      <w:r>
        <w:t xml:space="preserve">.</w:t>
      </w:r>
    </w:p>
    <w:bookmarkEnd w:id="203"/>
    <w:bookmarkEnd w:id="204"/>
    <w:bookmarkEnd w:id="205"/>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5646F4"/>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2374328"/>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nsid w:val="0489BFE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1"/>
  </w:num>
  <w:num w:numId="49">
    <w:abstractNumId w:val="11"/>
  </w:num>
  <w:num w:numId="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s://github.com/GhostPack/PSPKIAudit" TargetMode="External"/><Relationship Id="rId27" Type="http://schemas.openxmlformats.org/officeDocument/2006/relationships/hyperlink" Target="https://trustedsec.com/blog/ekuwu-not-just-another-ad-cs-vulnerability" TargetMode="External"/><Relationship Id="rId28" Type="http://schemas.openxmlformats.org/officeDocument/2006/relationships/hyperlink" Target="https://doi.org/10.1609/aaai.v37i5.25702" TargetMode="External"/><Relationship Id="rId29" Type="http://schemas.openxmlformats.org/officeDocument/2006/relationships/hyperlink" Target="https://posts.specterops.io/adcs-esc13-abuse-of-certificate-templates-with-issuance-policies-53457a4e613b" TargetMode="External"/><Relationship Id="rId30" Type="http://schemas.openxmlformats.org/officeDocument/2006/relationships/hyperlink" Target="https://github.com/ly4k/Certipy" TargetMode="External"/><Relationship Id="rId31" Type="http://schemas.openxmlformats.org/officeDocument/2006/relationships/hyperlink" Target="https://github.com/Orange-Cyberdefense/GOAD" TargetMode="External"/><Relationship Id="rId32" Type="http://schemas.openxmlformats.org/officeDocument/2006/relationships/hyperlink" Target="https://github.com/BloodHoundAD/BloodHound" TargetMode="External"/><Relationship Id="rId33" Type="http://schemas.openxmlformats.org/officeDocument/2006/relationships/hyperlink" Target="https://posts.specterops.io/certified-pre-owned-d95910965cd2" TargetMode="External"/><Relationship Id="rId34"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