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20"/>
        <w:jc w:val="center"/>
      </w:pPr>
      <w:r>
        <w:rPr>
          <w:b/>
          <w:color w:val="0C2C56"/>
          <w:sz w:val="36"/>
        </w:rPr>
        <w:t>INTERNSHIP REPORT ON</w:t>
        <w:br/>
      </w:r>
      <w:r>
        <w:rPr>
          <w:b/>
          <w:sz w:val="32"/>
        </w:rPr>
        <w:t>BACKEND WEB DEVELOPMENT USING JAVASCRIPT FRAMEWORKS AT DIGICON TECHNOLOGIES PLC</w:t>
        <w:br/>
      </w:r>
    </w:p>
    <w:p>
      <w:pPr>
        <w:spacing w:before="360"/>
        <w:jc w:val="center"/>
      </w:pPr>
      <w:r>
        <w:rPr>
          <w:b/>
          <w:sz w:val="24"/>
        </w:rPr>
        <w:t>Course Code: ECE 450    Course Title: Industrial Training / Internship</w:t>
        <w:br/>
      </w:r>
    </w:p>
    <w:p>
      <w:pPr>
        <w:spacing w:before="280"/>
        <w:jc w:val="center"/>
      </w:pPr>
      <w:r>
        <w:rPr>
          <w:b/>
        </w:rPr>
        <w:t>Submitted By---</w:t>
        <w:br/>
      </w:r>
      <w:r>
        <w:t>Shahriar Hasan</w:t>
        <w:br/>
        <w:t>Student ID: 2002138</w:t>
        <w:br/>
        <w:t>Level: 4, Semester: II</w:t>
        <w:br/>
      </w:r>
    </w:p>
    <w:p>
      <w:pPr>
        <w:spacing w:before="280" w:after="280"/>
        <w:jc w:val="center"/>
      </w:pPr>
      <w:r>
        <w:drawing>
          <wp:inline xmlns:a="http://schemas.openxmlformats.org/drawingml/2006/main" xmlns:pic="http://schemas.openxmlformats.org/drawingml/2006/picture">
            <wp:extent cx="1005840" cy="1477458"/>
            <wp:docPr id="1" name="Picture 1"/>
            <wp:cNvGraphicFramePr>
              <a:graphicFrameLocks noChangeAspect="1"/>
            </wp:cNvGraphicFramePr>
            <a:graphic>
              <a:graphicData uri="http://schemas.openxmlformats.org/drawingml/2006/picture">
                <pic:pic>
                  <pic:nvPicPr>
                    <pic:cNvPr id="0" name="hstu_logo.png"/>
                    <pic:cNvPicPr/>
                  </pic:nvPicPr>
                  <pic:blipFill>
                    <a:blip r:embed="rId9"/>
                    <a:stretch>
                      <a:fillRect/>
                    </a:stretch>
                  </pic:blipFill>
                  <pic:spPr>
                    <a:xfrm>
                      <a:off x="0" y="0"/>
                      <a:ext cx="1005840" cy="1477458"/>
                    </a:xfrm>
                    <a:prstGeom prst="rect"/>
                  </pic:spPr>
                </pic:pic>
              </a:graphicData>
            </a:graphic>
          </wp:inline>
        </w:drawing>
      </w:r>
    </w:p>
    <w:p>
      <w:pPr>
        <w:jc w:val="center"/>
      </w:pPr>
      <w:r>
        <w:rPr>
          <w:b/>
        </w:rPr>
        <w:t>Submitted To---</w:t>
        <w:br/>
      </w:r>
      <w:r>
        <w:rPr>
          <w:b/>
          <w:sz w:val="26"/>
        </w:rPr>
        <w:t>Department of Electronics and Communication Engineering</w:t>
        <w:br/>
      </w:r>
      <w:r>
        <w:t>in partial fulfillment of the requirements for the degree of</w:t>
        <w:br/>
      </w:r>
      <w:r>
        <w:rPr>
          <w:b/>
          <w:sz w:val="24"/>
        </w:rPr>
        <w:t>Bachelor of Science in Electronics and Communication Engineering</w:t>
        <w:br/>
      </w:r>
      <w:r>
        <w:rPr>
          <w:b/>
          <w:sz w:val="26"/>
        </w:rPr>
        <w:t>Hajee Mohammad Danesh Science and Technology University (HSTU)</w:t>
        <w:br/>
        <w:t>Dinajpur-5200, Bangladesh</w:t>
        <w:br/>
      </w:r>
      <w:r>
        <w:rPr>
          <w:b/>
        </w:rPr>
        <w:t>October, 2026</w:t>
        <w:br/>
      </w:r>
    </w:p>
    <w:p>
      <w:r>
        <w:br w:type="page"/>
      </w:r>
    </w:p>
    <w:p>
      <w:pPr>
        <w:spacing w:before="360" w:after="240"/>
      </w:pPr>
      <w:r>
        <w:rPr>
          <w:b/>
          <w:color w:val="0C2C56"/>
          <w:sz w:val="32"/>
        </w:rPr>
        <w:t>Industrial Internship Certificate</w:t>
      </w:r>
    </w:p>
    <w:p>
      <w:pPr>
        <w:spacing w:before="200"/>
        <w:jc w:val="center"/>
      </w:pPr>
      <w:r>
        <w:drawing>
          <wp:inline xmlns:a="http://schemas.openxmlformats.org/drawingml/2006/main" xmlns:pic="http://schemas.openxmlformats.org/drawingml/2006/picture">
            <wp:extent cx="5669280" cy="7628972"/>
            <wp:docPr id="2" name="Picture 2"/>
            <wp:cNvGraphicFramePr>
              <a:graphicFrameLocks noChangeAspect="1"/>
            </wp:cNvGraphicFramePr>
            <a:graphic>
              <a:graphicData uri="http://schemas.openxmlformats.org/drawingml/2006/picture">
                <pic:pic>
                  <pic:nvPicPr>
                    <pic:cNvPr id="0" name="cert.png"/>
                    <pic:cNvPicPr/>
                  </pic:nvPicPr>
                  <pic:blipFill>
                    <a:blip r:embed="rId10"/>
                    <a:stretch>
                      <a:fillRect/>
                    </a:stretch>
                  </pic:blipFill>
                  <pic:spPr>
                    <a:xfrm>
                      <a:off x="0" y="0"/>
                      <a:ext cx="5669280" cy="7628972"/>
                    </a:xfrm>
                    <a:prstGeom prst="rect"/>
                  </pic:spPr>
                </pic:pic>
              </a:graphicData>
            </a:graphic>
          </wp:inline>
        </w:drawing>
      </w:r>
    </w:p>
    <w:p>
      <w:r>
        <w:br w:type="page"/>
      </w:r>
    </w:p>
    <w:p>
      <w:pPr>
        <w:spacing w:before="360" w:after="240"/>
      </w:pPr>
      <w:r>
        <w:rPr>
          <w:b/>
          <w:color w:val="0C2C56"/>
          <w:sz w:val="32"/>
        </w:rPr>
        <w:t>Acknowledgements</w:t>
      </w:r>
    </w:p>
    <w:p>
      <w:r>
        <w:t>First and foremost, all praises and profound gratitude are due to Almighty Allah, the Most Merciful and Most Beneficent, who bestowed upon me the health, intellectual resilience, and perseverance required to complete this industrial internship and compile this comprehensive report.</w:t>
        <w:br/>
        <w:br/>
        <w:t>I express my deepest gratitude, profound respect, and indebtedness to my respected Academic Supervisor in the Department of Electronics and Communication Engineering at Hajee Mohammad Danesh Science and Technology University (HSTU). His critical evaluations, scholarly feedback, and constructive academic stewardship were instrumental in contextualizing my industrial learnings within the foundational principles of computer science and communication engineering.</w:t>
        <w:br/>
        <w:br/>
        <w:t>I extend my heartfelt thanks to the Chairman and all distinguished faculty members of the Department of Electronics and Communication Engineering, HSTU, for providing a vibrant academic ecosystem, rigorous theoretical foundations, and continuous moral support throughout my undergraduate studies.</w:t>
        <w:br/>
        <w:br/>
        <w:t>I am immensely grateful to the executive management and engineering leadership of Digicon Technologies PLC for granting me the invaluable opportunity to undertake this industrial attachment. In particular, I express my sincere appreciation to my Industrial Supervisor (Lead Software Architect) and the senior software engineers within the Software Engineering Division. Their hands-on mentorship, architectural guidance, in-depth code reviews, and constant encouragement allowed me to bridge the critical gap between academic software concepts and high-throughput enterprise production systems.</w:t>
        <w:br/>
        <w:br/>
        <w:t>Finally, words cannot adequately express my lifelong gratitude to my parents and family. Their boundless sacrifices, endless patience, and unyielding faith in my abilities have been my greatest pillar of strength.</w:t>
        <w:br/>
        <w:br/>
        <w:br/>
        <w:t>Shahriar Hasan</w:t>
        <w:br/>
        <w:t>Student ID: 2002138</w:t>
        <w:br/>
        <w:t>HSTU, Dinajpur</w:t>
        <w:br/>
        <w:t>October, 2026</w:t>
        <w:br/>
      </w:r>
    </w:p>
    <w:p>
      <w:r>
        <w:br w:type="page"/>
      </w:r>
    </w:p>
    <w:p>
      <w:pPr>
        <w:spacing w:before="360" w:after="240"/>
      </w:pPr>
      <w:r>
        <w:rPr>
          <w:b/>
          <w:color w:val="0C2C56"/>
          <w:sz w:val="32"/>
        </w:rPr>
        <w:t>Executive Summary</w:t>
      </w:r>
    </w:p>
    <w:p>
      <w:r>
        <w:t>This internship report provides a comprehensive, rigorous synthesis of an industrial training attachment completed at Digicon Technologies PLC, Dhaka, Bangladesh, as a mandatory curricular requirement for the degree of Bachelor of Science in Electronics and Communication Engineering at Hajee Mohammad Danesh Science and Technology University (HSTU). Digicon Technologies PLC is one of Bangladesh's premier Business Process Outsourcing (BPO) and Information Technology Enabled Services (ITES) providers, operating with over 1,500 Full-Time Equivalents (FTEs) and processing more than 3 million multi-channel customer transactions monthly.</w:t>
        <w:br/>
        <w:br/>
        <w:t>Embedded as a Software Engineering Intern within the Backend Engineering division, the author's primary mandate centered on backend system architecture, API engineering, and distributed service optimization utilizing modern JavaScript and TypeScript frameworks: Node.js, Express.js, NestJS, PostgreSQL, MongoDB, and Redis.</w:t>
        <w:br/>
        <w:br/>
        <w:t>Key deliverables include co-architecting the CRM Support Ticket Routing Engine, the Enterprise SMS Gateway Microservice with Token Bucket rate limiting, and optimizing in-memory Redis caching. Performance profiling via Autocannon confirmed a 94.7% reduction in API response latency (from 1,250 ms to 65 ms) and an 8-fold throughput scaling to 9,200 req/sec under concurrent load.</w:t>
        <w:br/>
        <w:br/>
        <w:t>Keywords: Backend Web Development, Node.js, Express.js, NestJS, Digicon Technologies, BPO, CRM, SMS Gateway, Redis Caching, PostgreSQL, MongoDB, RESTful API, Docker, RBAC, Microservices Architecture.</w:t>
        <w:br/>
      </w:r>
    </w:p>
    <w:p>
      <w:r>
        <w:br w:type="page"/>
      </w:r>
    </w:p>
    <w:p>
      <w:pPr>
        <w:spacing w:before="360" w:after="240"/>
      </w:pPr>
      <w:r>
        <w:rPr>
          <w:b/>
          <w:color w:val="0C2C56"/>
          <w:sz w:val="32"/>
        </w:rPr>
        <w:t>Chapter 1: Introduction</w:t>
      </w:r>
    </w:p>
    <w:p>
      <w:pPr>
        <w:spacing w:before="280" w:after="120"/>
      </w:pPr>
      <w:r>
        <w:rPr>
          <w:b/>
          <w:color w:val="184C78"/>
          <w:sz w:val="28"/>
        </w:rPr>
        <w:t>1.1 Background and Context of Industrial Attachment</w:t>
      </w:r>
    </w:p>
    <w:p>
      <w:r>
        <w:t>In modern communication engineering, theoretical academia is synthesized into practice through enterprise software engineering. The BSc in Electronics and Communication Engineering curriculum at HSTU incorporates a mandatory credit-bearing Industrial Training / Internship (Course Code: ECE 450). The author completed this industrial attachment at Digicon Technologies PLC, a pioneer BPO and IT solutions conglomerate in Dhaka, Bangladesh, employing over 1,500 FTEs across modern contact center and software engineering facilities.</w:t>
      </w:r>
    </w:p>
    <w:p>
      <w:pPr>
        <w:spacing w:before="280" w:after="120"/>
      </w:pPr>
      <w:r>
        <w:rPr>
          <w:b/>
          <w:color w:val="184C78"/>
          <w:sz w:val="28"/>
        </w:rPr>
        <w:t>1.2 Purpose and Specific Objectives</w:t>
      </w:r>
    </w:p>
    <w:p>
      <w:r>
        <w:t>The primary purpose was to acquire end-to-end competency in designing, securing, and deploying enterprise-scale backend web services. Objectives included: 1) Analyzing Digicon's BPO and software architecture, 2) Implementing the CRM Support Ticket engine and Enterprise SMS Gateway microservice, 3) Hardening API security with JWT and RBAC, 4) Developing automated test suites with Jest/Supertest, and 5) Profiling Redis caching performance.</w:t>
      </w:r>
    </w:p>
    <w:p>
      <w:pPr>
        <w:spacing w:before="360" w:after="240"/>
      </w:pPr>
      <w:r>
        <w:rPr>
          <w:b/>
          <w:color w:val="0C2C56"/>
          <w:sz w:val="32"/>
        </w:rPr>
        <w:t>Chapter 2: Host Organization Profile — Digicon Technologies PLC</w:t>
      </w:r>
    </w:p>
    <w:p>
      <w:pPr>
        <w:spacing w:before="280" w:after="120"/>
      </w:pPr>
      <w:r>
        <w:rPr>
          <w:b/>
          <w:color w:val="184C78"/>
          <w:sz w:val="28"/>
        </w:rPr>
        <w:t>2.1 Corporate History and Genesis</w:t>
      </w:r>
    </w:p>
    <w:p>
      <w:r>
        <w:t>Founded in 2010, Digicon Technologies PLC has grown into one of Bangladesh's largest IT and BPO enterprises. Operating out of Rajuk Trade Center, Nikunja-2, Tejgaon, and Mirpur, Digicon is an ISO 9001 and ISO 27001 certified company and a leading founding member of BACCO.</w:t>
      </w:r>
    </w:p>
    <w:p>
      <w:pPr>
        <w:spacing w:before="280" w:after="120"/>
      </w:pPr>
      <w:r>
        <w:rPr>
          <w:b/>
          <w:color w:val="184C78"/>
          <w:sz w:val="28"/>
        </w:rPr>
        <w:t>2.2 Business Domains &amp; Verticals</w:t>
      </w:r>
    </w:p>
    <w:p>
      <w:r>
        <w:t>Digicon operates across three primary business pillars: 1) BPO &amp; Contact Center Solutions (1500+ FTEs, 3M+ monthly transactions, 24/7 omnichannel customer care), 2) Software &amp; Technology Solutions (Enterprise CRM, SMS Gateway, HRMS with payroll, ERP, and AI chatbots), and 3) Professional Training &amp; IT Consultancy.</w:t>
      </w:r>
    </w:p>
    <w:p>
      <w:pPr>
        <w:spacing w:before="240" w:after="80"/>
        <w:jc w:val="center"/>
      </w:pPr>
      <w:r>
        <w:drawing>
          <wp:inline xmlns:a="http://schemas.openxmlformats.org/drawingml/2006/main" xmlns:pic="http://schemas.openxmlformats.org/drawingml/2006/picture">
            <wp:extent cx="5303520" cy="3336303"/>
            <wp:docPr id="3" name="Picture 3"/>
            <wp:cNvGraphicFramePr>
              <a:graphicFrameLocks noChangeAspect="1"/>
            </wp:cNvGraphicFramePr>
            <a:graphic>
              <a:graphicData uri="http://schemas.openxmlformats.org/drawingml/2006/picture">
                <pic:pic>
                  <pic:nvPicPr>
                    <pic:cNvPr id="0" name="digicon_org_structure.png"/>
                    <pic:cNvPicPr/>
                  </pic:nvPicPr>
                  <pic:blipFill>
                    <a:blip r:embed="rId11"/>
                    <a:stretch>
                      <a:fillRect/>
                    </a:stretch>
                  </pic:blipFill>
                  <pic:spPr>
                    <a:xfrm>
                      <a:off x="0" y="0"/>
                      <a:ext cx="5303520" cy="3336303"/>
                    </a:xfrm>
                    <a:prstGeom prst="rect"/>
                  </pic:spPr>
                </pic:pic>
              </a:graphicData>
            </a:graphic>
          </wp:inline>
        </w:drawing>
      </w:r>
    </w:p>
    <w:p>
      <w:pPr>
        <w:spacing w:after="240"/>
        <w:jc w:val="center"/>
      </w:pPr>
      <w:r>
        <w:rPr>
          <w:b/>
          <w:color w:val="0C2C56"/>
          <w:sz w:val="20"/>
        </w:rPr>
        <w:t>Figure 2.1: Corporate and Engineering Organizational Hierarchy of Digicon Technologies PLC.</w:t>
      </w:r>
    </w:p>
    <w:p>
      <w:pPr>
        <w:spacing w:before="360" w:after="240"/>
      </w:pPr>
      <w:r>
        <w:rPr>
          <w:b/>
          <w:color w:val="0C2C56"/>
          <w:sz w:val="32"/>
        </w:rPr>
        <w:t>Chapter 3: Technical Background &amp; Backend Ecosystem</w:t>
      </w:r>
    </w:p>
    <w:p>
      <w:pPr>
        <w:spacing w:before="280" w:after="120"/>
      </w:pPr>
      <w:r>
        <w:rPr>
          <w:b/>
          <w:color w:val="184C78"/>
          <w:sz w:val="28"/>
        </w:rPr>
        <w:t>3.1 The Node.js Runtime Architecture</w:t>
      </w:r>
    </w:p>
    <w:p>
      <w:r>
        <w:t>Node.js combines Google's V8 C++ JavaScript engine with the Libuv asynchronous I/O library, employing an event-driven, single-threaded execution model that offloads blocking I/O to operating system threads. This architecture enables high-concurrency network servers with minimal memory footprint.</w:t>
      </w:r>
    </w:p>
    <w:p>
      <w:r>
        <w:t>The Node.js Libuv Event Loop operates as a continuous state machine processing callbacks across distinct sequential phases (Table 3.1):</w:t>
      </w:r>
    </w:p>
    <w:tbl>
      <w:tblPr>
        <w:tblW w:type="auto" w:w="0"/>
        <w:jc w:val="center"/>
        <w:tblLook w:firstColumn="1" w:firstRow="1" w:lastColumn="0" w:lastRow="0" w:noHBand="0" w:noVBand="1" w:val="04A0"/>
      </w:tblPr>
      <w:tblGrid>
        <w:gridCol w:w="4500"/>
        <w:gridCol w:w="4500"/>
      </w:tblGrid>
      <w:tr>
        <w:tc>
          <w:tcPr>
            <w:tcW w:type="dxa" w:w="2592"/>
            <w:tcMar>
              <w:top w:w="80" w:type="dxa"/>
              <w:bottom w:w="80" w:type="dxa"/>
              <w:left w:w="100" w:type="dxa"/>
              <w:right w:w="100" w:type="dxa"/>
            </w:tcMar>
          </w:tcPr>
          <w:p>
            <w:r>
              <w:rPr>
                <w:b/>
                <w:color w:val="0C2C56"/>
              </w:rPr>
              <w:t>Phase</w:t>
            </w:r>
          </w:p>
        </w:tc>
        <w:tc>
          <w:tcPr>
            <w:tcW w:type="dxa" w:w="6480"/>
            <w:tcMar>
              <w:top w:w="80" w:type="dxa"/>
              <w:bottom w:w="80" w:type="dxa"/>
              <w:left w:w="100" w:type="dxa"/>
              <w:right w:w="100" w:type="dxa"/>
            </w:tcMar>
          </w:tcPr>
          <w:p>
            <w:r>
              <w:rPr>
                <w:b/>
                <w:color w:val="0C2C56"/>
              </w:rPr>
              <w:t>Operational Function and Responsibilities</w:t>
            </w:r>
          </w:p>
        </w:tc>
      </w:tr>
      <w:tr>
        <w:tc>
          <w:tcPr>
            <w:tcW w:type="dxa" w:w="2592"/>
            <w:tcMar>
              <w:top w:w="80" w:type="dxa"/>
              <w:bottom w:w="80" w:type="dxa"/>
              <w:left w:w="100" w:type="dxa"/>
              <w:right w:w="100" w:type="dxa"/>
            </w:tcMar>
          </w:tcPr>
          <w:p>
            <w:r>
              <w:rPr>
                <w:b/>
                <w:color w:val="184C78"/>
              </w:rPr>
              <w:t>Timers</w:t>
            </w:r>
          </w:p>
        </w:tc>
        <w:tc>
          <w:tcPr>
            <w:tcW w:type="dxa" w:w="6480"/>
            <w:tcMar>
              <w:top w:w="80" w:type="dxa"/>
              <w:bottom w:w="80" w:type="dxa"/>
              <w:left w:w="100" w:type="dxa"/>
              <w:right w:w="100" w:type="dxa"/>
            </w:tcMar>
          </w:tcPr>
          <w:p>
            <w:r>
              <w:t>Executes callbacks scheduled by setTimeout() and setInterval().</w:t>
            </w:r>
          </w:p>
        </w:tc>
      </w:tr>
      <w:tr>
        <w:tc>
          <w:tcPr>
            <w:tcW w:type="dxa" w:w="2592"/>
            <w:tcMar>
              <w:top w:w="80" w:type="dxa"/>
              <w:bottom w:w="80" w:type="dxa"/>
              <w:left w:w="100" w:type="dxa"/>
              <w:right w:w="100" w:type="dxa"/>
            </w:tcMar>
          </w:tcPr>
          <w:p>
            <w:r>
              <w:rPr>
                <w:b/>
                <w:color w:val="184C78"/>
              </w:rPr>
              <w:t>Pending I/O</w:t>
            </w:r>
          </w:p>
        </w:tc>
        <w:tc>
          <w:tcPr>
            <w:tcW w:type="dxa" w:w="6480"/>
            <w:tcMar>
              <w:top w:w="80" w:type="dxa"/>
              <w:bottom w:w="80" w:type="dxa"/>
              <w:left w:w="100" w:type="dxa"/>
              <w:right w:w="100" w:type="dxa"/>
            </w:tcMar>
          </w:tcPr>
          <w:p>
            <w:r>
              <w:t>Executes I/O callbacks deferred from the previous loop iteration.</w:t>
            </w:r>
          </w:p>
        </w:tc>
      </w:tr>
      <w:tr>
        <w:tc>
          <w:tcPr>
            <w:tcW w:type="dxa" w:w="2592"/>
            <w:tcMar>
              <w:top w:w="80" w:type="dxa"/>
              <w:bottom w:w="80" w:type="dxa"/>
              <w:left w:w="100" w:type="dxa"/>
              <w:right w:w="100" w:type="dxa"/>
            </w:tcMar>
          </w:tcPr>
          <w:p>
            <w:r>
              <w:rPr>
                <w:b/>
                <w:color w:val="184C78"/>
              </w:rPr>
              <w:t>Idle, Prepare</w:t>
            </w:r>
          </w:p>
        </w:tc>
        <w:tc>
          <w:tcPr>
            <w:tcW w:type="dxa" w:w="6480"/>
            <w:tcMar>
              <w:top w:w="80" w:type="dxa"/>
              <w:bottom w:w="80" w:type="dxa"/>
              <w:left w:w="100" w:type="dxa"/>
              <w:right w:w="100" w:type="dxa"/>
            </w:tcMar>
          </w:tcPr>
          <w:p>
            <w:r>
              <w:t>Internal runtime routines utilized exclusively by the Libuv subsystem.</w:t>
            </w:r>
          </w:p>
        </w:tc>
      </w:tr>
      <w:tr>
        <w:tc>
          <w:tcPr>
            <w:tcW w:type="dxa" w:w="2592"/>
            <w:tcMar>
              <w:top w:w="80" w:type="dxa"/>
              <w:bottom w:w="80" w:type="dxa"/>
              <w:left w:w="100" w:type="dxa"/>
              <w:right w:w="100" w:type="dxa"/>
            </w:tcMar>
          </w:tcPr>
          <w:p>
            <w:r>
              <w:rPr>
                <w:b/>
                <w:color w:val="184C78"/>
              </w:rPr>
              <w:t>Poll</w:t>
            </w:r>
          </w:p>
        </w:tc>
        <w:tc>
          <w:tcPr>
            <w:tcW w:type="dxa" w:w="6480"/>
            <w:tcMar>
              <w:top w:w="80" w:type="dxa"/>
              <w:bottom w:w="80" w:type="dxa"/>
              <w:left w:w="100" w:type="dxa"/>
              <w:right w:w="100" w:type="dxa"/>
            </w:tcMar>
          </w:tcPr>
          <w:p>
            <w:r>
              <w:t>Retrieves new I/O events, executes I/O-related callbacks, and blocks if empty.</w:t>
            </w:r>
          </w:p>
        </w:tc>
      </w:tr>
      <w:tr>
        <w:tc>
          <w:tcPr>
            <w:tcW w:type="dxa" w:w="2592"/>
            <w:tcMar>
              <w:top w:w="80" w:type="dxa"/>
              <w:bottom w:w="80" w:type="dxa"/>
              <w:left w:w="100" w:type="dxa"/>
              <w:right w:w="100" w:type="dxa"/>
            </w:tcMar>
          </w:tcPr>
          <w:p>
            <w:r>
              <w:rPr>
                <w:b/>
                <w:color w:val="184C78"/>
              </w:rPr>
              <w:t>Check</w:t>
            </w:r>
          </w:p>
        </w:tc>
        <w:tc>
          <w:tcPr>
            <w:tcW w:type="dxa" w:w="6480"/>
            <w:tcMar>
              <w:top w:w="80" w:type="dxa"/>
              <w:bottom w:w="80" w:type="dxa"/>
              <w:left w:w="100" w:type="dxa"/>
              <w:right w:w="100" w:type="dxa"/>
            </w:tcMar>
          </w:tcPr>
          <w:p>
            <w:r>
              <w:t>Executes callbacks invoked via setImmediate().</w:t>
            </w:r>
          </w:p>
        </w:tc>
      </w:tr>
      <w:tr>
        <w:tc>
          <w:tcPr>
            <w:tcW w:type="dxa" w:w="2592"/>
            <w:tcMar>
              <w:top w:w="80" w:type="dxa"/>
              <w:bottom w:w="80" w:type="dxa"/>
              <w:left w:w="100" w:type="dxa"/>
              <w:right w:w="100" w:type="dxa"/>
            </w:tcMar>
          </w:tcPr>
          <w:p>
            <w:r>
              <w:rPr>
                <w:b/>
                <w:color w:val="184C78"/>
              </w:rPr>
              <w:t>Close Callbacks</w:t>
            </w:r>
          </w:p>
        </w:tc>
        <w:tc>
          <w:tcPr>
            <w:tcW w:type="dxa" w:w="6480"/>
            <w:tcMar>
              <w:top w:w="80" w:type="dxa"/>
              <w:bottom w:w="80" w:type="dxa"/>
              <w:left w:w="100" w:type="dxa"/>
              <w:right w:w="100" w:type="dxa"/>
            </w:tcMar>
          </w:tcPr>
          <w:p>
            <w:r>
              <w:t>Handles abrupt connection closures (e.g., socket.on('close')).</w:t>
            </w:r>
          </w:p>
        </w:tc>
      </w:tr>
    </w:tbl>
    <w:p>
      <w:pPr>
        <w:jc w:val="center"/>
      </w:pPr>
      <w:r>
        <w:rPr>
          <w:i/>
          <w:sz w:val="20"/>
        </w:rPr>
        <w:t>Table 3.1: Phases of the Node.js Libuv Event Loop Execution Model.</w:t>
      </w:r>
    </w:p>
    <w:p>
      <w:pPr>
        <w:spacing w:before="280" w:after="120"/>
      </w:pPr>
      <w:r>
        <w:rPr>
          <w:b/>
          <w:color w:val="184C78"/>
          <w:sz w:val="28"/>
        </w:rPr>
        <w:t>3.2 Express.js versus NestJS Frameworks</w:t>
      </w:r>
    </w:p>
    <w:p>
      <w:r>
        <w:t>Express.js offers a minimalist, functional middleware pipeline ideal for lightweight microservices. NestJS provides an opinionated, TypeScript-native, modular architecture featuring Dependency Injection (DI) and declarative validation pipes, making it the preferred choice for complex enterprise SaaS platforms.</w:t>
      </w:r>
    </w:p>
    <w:p>
      <w:pPr>
        <w:spacing w:before="280" w:after="120"/>
      </w:pPr>
      <w:r>
        <w:rPr>
          <w:b/>
          <w:color w:val="184C78"/>
          <w:sz w:val="28"/>
        </w:rPr>
        <w:t>3.3 Polyglot Persistence &amp; Caching</w:t>
      </w:r>
    </w:p>
    <w:p>
      <w:r>
        <w:t>Digicon leverages PostgreSQL for ACID relational data (user authentication, roles, audit ledgers), MongoDB for schemaless BSON ticket documents, and Redis for in-memory key-value caching and distributed BullMQ job queues.</w:t>
      </w:r>
    </w:p>
    <w:p>
      <w:pPr>
        <w:spacing w:before="360" w:after="240"/>
      </w:pPr>
      <w:r>
        <w:rPr>
          <w:b/>
          <w:color w:val="0C2C56"/>
          <w:sz w:val="32"/>
        </w:rPr>
        <w:t>Chapter 4: System Architecture &amp; Requirements Analysis</w:t>
      </w:r>
    </w:p>
    <w:p>
      <w:pPr>
        <w:spacing w:before="280" w:after="120"/>
      </w:pPr>
      <w:r>
        <w:rPr>
          <w:b/>
          <w:color w:val="184C78"/>
          <w:sz w:val="28"/>
        </w:rPr>
        <w:t>4.1 Layered Microservices Blueprint</w:t>
      </w:r>
    </w:p>
    <w:p>
      <w:r>
        <w:t>The backend architecture is partitioned into six decoupled layers: Client Tier, Gateway &amp; Security Tier (Nginx, rate limiters, JWT guards), API Routing Tier (Controllers), Business Logic Tier (Services), Data Access &amp; Caching Tier (Repositories, Mongoose, Prisma, Redis), and External Persistence Infrastructure.</w:t>
      </w:r>
    </w:p>
    <w:p>
      <w:pPr>
        <w:spacing w:before="240" w:after="80"/>
        <w:jc w:val="center"/>
      </w:pPr>
      <w:r>
        <w:drawing>
          <wp:inline xmlns:a="http://schemas.openxmlformats.org/drawingml/2006/main" xmlns:pic="http://schemas.openxmlformats.org/drawingml/2006/picture">
            <wp:extent cx="5303520" cy="4087116"/>
            <wp:docPr id="4" name="Picture 4"/>
            <wp:cNvGraphicFramePr>
              <a:graphicFrameLocks noChangeAspect="1"/>
            </wp:cNvGraphicFramePr>
            <a:graphic>
              <a:graphicData uri="http://schemas.openxmlformats.org/drawingml/2006/picture">
                <pic:pic>
                  <pic:nvPicPr>
                    <pic:cNvPr id="0" name="backend_layered_architecture.png"/>
                    <pic:cNvPicPr/>
                  </pic:nvPicPr>
                  <pic:blipFill>
                    <a:blip r:embed="rId12"/>
                    <a:stretch>
                      <a:fillRect/>
                    </a:stretch>
                  </pic:blipFill>
                  <pic:spPr>
                    <a:xfrm>
                      <a:off x="0" y="0"/>
                      <a:ext cx="5303520" cy="4087116"/>
                    </a:xfrm>
                    <a:prstGeom prst="rect"/>
                  </pic:spPr>
                </pic:pic>
              </a:graphicData>
            </a:graphic>
          </wp:inline>
        </w:drawing>
      </w:r>
    </w:p>
    <w:p>
      <w:pPr>
        <w:spacing w:after="240"/>
        <w:jc w:val="center"/>
      </w:pPr>
      <w:r>
        <w:rPr>
          <w:b/>
          <w:color w:val="0C2C56"/>
          <w:sz w:val="20"/>
        </w:rPr>
        <w:t>Figure 4.1: Digicon Backend System — Layered Microservices Architecture.</w:t>
      </w:r>
    </w:p>
    <w:p>
      <w:pPr>
        <w:spacing w:before="240" w:after="80"/>
        <w:jc w:val="center"/>
      </w:pPr>
      <w:r>
        <w:drawing>
          <wp:inline xmlns:a="http://schemas.openxmlformats.org/drawingml/2006/main" xmlns:pic="http://schemas.openxmlformats.org/drawingml/2006/picture">
            <wp:extent cx="5303520" cy="3582202"/>
            <wp:docPr id="5" name="Picture 5"/>
            <wp:cNvGraphicFramePr>
              <a:graphicFrameLocks noChangeAspect="1"/>
            </wp:cNvGraphicFramePr>
            <a:graphic>
              <a:graphicData uri="http://schemas.openxmlformats.org/drawingml/2006/picture">
                <pic:pic>
                  <pic:nvPicPr>
                    <pic:cNvPr id="0" name="database_er_schema.png"/>
                    <pic:cNvPicPr/>
                  </pic:nvPicPr>
                  <pic:blipFill>
                    <a:blip r:embed="rId13"/>
                    <a:stretch>
                      <a:fillRect/>
                    </a:stretch>
                  </pic:blipFill>
                  <pic:spPr>
                    <a:xfrm>
                      <a:off x="0" y="0"/>
                      <a:ext cx="5303520" cy="3582202"/>
                    </a:xfrm>
                    <a:prstGeom prst="rect"/>
                  </pic:spPr>
                </pic:pic>
              </a:graphicData>
            </a:graphic>
          </wp:inline>
        </w:drawing>
      </w:r>
    </w:p>
    <w:p>
      <w:pPr>
        <w:spacing w:after="240"/>
        <w:jc w:val="center"/>
      </w:pPr>
      <w:r>
        <w:rPr>
          <w:b/>
          <w:color w:val="0C2C56"/>
          <w:sz w:val="20"/>
        </w:rPr>
        <w:t>Figure 4.2: Database Relational and Document Schema Architecture.</w:t>
      </w:r>
    </w:p>
    <w:p>
      <w:pPr>
        <w:spacing w:before="240" w:after="80"/>
        <w:jc w:val="center"/>
      </w:pPr>
      <w:r>
        <w:drawing>
          <wp:inline xmlns:a="http://schemas.openxmlformats.org/drawingml/2006/main" xmlns:pic="http://schemas.openxmlformats.org/drawingml/2006/picture">
            <wp:extent cx="5303520" cy="3688538"/>
            <wp:docPr id="6" name="Picture 6"/>
            <wp:cNvGraphicFramePr>
              <a:graphicFrameLocks noChangeAspect="1"/>
            </wp:cNvGraphicFramePr>
            <a:graphic>
              <a:graphicData uri="http://schemas.openxmlformats.org/drawingml/2006/picture">
                <pic:pic>
                  <pic:nvPicPr>
                    <pic:cNvPr id="0" name="crm_ticket_flow.png"/>
                    <pic:cNvPicPr/>
                  </pic:nvPicPr>
                  <pic:blipFill>
                    <a:blip r:embed="rId14"/>
                    <a:stretch>
                      <a:fillRect/>
                    </a:stretch>
                  </pic:blipFill>
                  <pic:spPr>
                    <a:xfrm>
                      <a:off x="0" y="0"/>
                      <a:ext cx="5303520" cy="3688538"/>
                    </a:xfrm>
                    <a:prstGeom prst="rect"/>
                  </pic:spPr>
                </pic:pic>
              </a:graphicData>
            </a:graphic>
          </wp:inline>
        </w:drawing>
      </w:r>
    </w:p>
    <w:p>
      <w:pPr>
        <w:spacing w:after="240"/>
        <w:jc w:val="center"/>
      </w:pPr>
      <w:r>
        <w:rPr>
          <w:b/>
          <w:color w:val="0C2C56"/>
          <w:sz w:val="20"/>
        </w:rPr>
        <w:t>Figure 4.3: CRM Support Ticket Lifecycle and Event Routing Flow.</w:t>
      </w:r>
    </w:p>
    <w:p>
      <w:pPr>
        <w:spacing w:before="240" w:after="80"/>
        <w:jc w:val="center"/>
      </w:pPr>
      <w:r>
        <w:drawing>
          <wp:inline xmlns:a="http://schemas.openxmlformats.org/drawingml/2006/main" xmlns:pic="http://schemas.openxmlformats.org/drawingml/2006/picture">
            <wp:extent cx="5303520" cy="3442636"/>
            <wp:docPr id="7" name="Picture 7"/>
            <wp:cNvGraphicFramePr>
              <a:graphicFrameLocks noChangeAspect="1"/>
            </wp:cNvGraphicFramePr>
            <a:graphic>
              <a:graphicData uri="http://schemas.openxmlformats.org/drawingml/2006/picture">
                <pic:pic>
                  <pic:nvPicPr>
                    <pic:cNvPr id="0" name="sms_gateway_pipeline.png"/>
                    <pic:cNvPicPr/>
                  </pic:nvPicPr>
                  <pic:blipFill>
                    <a:blip r:embed="rId15"/>
                    <a:stretch>
                      <a:fillRect/>
                    </a:stretch>
                  </pic:blipFill>
                  <pic:spPr>
                    <a:xfrm>
                      <a:off x="0" y="0"/>
                      <a:ext cx="5303520" cy="3442636"/>
                    </a:xfrm>
                    <a:prstGeom prst="rect"/>
                  </pic:spPr>
                </pic:pic>
              </a:graphicData>
            </a:graphic>
          </wp:inline>
        </w:drawing>
      </w:r>
    </w:p>
    <w:p>
      <w:pPr>
        <w:spacing w:after="240"/>
        <w:jc w:val="center"/>
      </w:pPr>
      <w:r>
        <w:rPr>
          <w:b/>
          <w:color w:val="0C2C56"/>
          <w:sz w:val="20"/>
        </w:rPr>
        <w:t>Figure 4.4: Enterprise SMS Gateway and Asynchronous Dispatch Pipeline.</w:t>
      </w:r>
    </w:p>
    <w:p>
      <w:pPr>
        <w:spacing w:before="240" w:after="80"/>
        <w:jc w:val="center"/>
      </w:pPr>
      <w:r>
        <w:drawing>
          <wp:inline xmlns:a="http://schemas.openxmlformats.org/drawingml/2006/main" xmlns:pic="http://schemas.openxmlformats.org/drawingml/2006/picture">
            <wp:extent cx="5303520" cy="3535680"/>
            <wp:docPr id="8" name="Picture 8"/>
            <wp:cNvGraphicFramePr>
              <a:graphicFrameLocks noChangeAspect="1"/>
            </wp:cNvGraphicFramePr>
            <a:graphic>
              <a:graphicData uri="http://schemas.openxmlformats.org/drawingml/2006/picture">
                <pic:pic>
                  <pic:nvPicPr>
                    <pic:cNvPr id="0" name="jwt_auth_workflow.png"/>
                    <pic:cNvPicPr/>
                  </pic:nvPicPr>
                  <pic:blipFill>
                    <a:blip r:embed="rId16"/>
                    <a:stretch>
                      <a:fillRect/>
                    </a:stretch>
                  </pic:blipFill>
                  <pic:spPr>
                    <a:xfrm>
                      <a:off x="0" y="0"/>
                      <a:ext cx="5303520" cy="3535680"/>
                    </a:xfrm>
                    <a:prstGeom prst="rect"/>
                  </pic:spPr>
                </pic:pic>
              </a:graphicData>
            </a:graphic>
          </wp:inline>
        </w:drawing>
      </w:r>
    </w:p>
    <w:p>
      <w:pPr>
        <w:spacing w:after="240"/>
        <w:jc w:val="center"/>
      </w:pPr>
      <w:r>
        <w:rPr>
          <w:b/>
          <w:color w:val="0C2C56"/>
          <w:sz w:val="20"/>
        </w:rPr>
        <w:t>Figure 4.5: JWT Authentication and Role-Based Access Control (RBAC) Flow.</w:t>
      </w:r>
    </w:p>
    <w:p>
      <w:pPr>
        <w:spacing w:before="240" w:after="80"/>
        <w:jc w:val="center"/>
      </w:pPr>
      <w:r>
        <w:drawing>
          <wp:inline xmlns:a="http://schemas.openxmlformats.org/drawingml/2006/main" xmlns:pic="http://schemas.openxmlformats.org/drawingml/2006/picture">
            <wp:extent cx="5303520" cy="2977415"/>
            <wp:docPr id="9" name="Picture 9"/>
            <wp:cNvGraphicFramePr>
              <a:graphicFrameLocks noChangeAspect="1"/>
            </wp:cNvGraphicFramePr>
            <a:graphic>
              <a:graphicData uri="http://schemas.openxmlformats.org/drawingml/2006/picture">
                <pic:pic>
                  <pic:nvPicPr>
                    <pic:cNvPr id="0" name="ci_cd_docker_pipeline.png"/>
                    <pic:cNvPicPr/>
                  </pic:nvPicPr>
                  <pic:blipFill>
                    <a:blip r:embed="rId17"/>
                    <a:stretch>
                      <a:fillRect/>
                    </a:stretch>
                  </pic:blipFill>
                  <pic:spPr>
                    <a:xfrm>
                      <a:off x="0" y="0"/>
                      <a:ext cx="5303520" cy="2977415"/>
                    </a:xfrm>
                    <a:prstGeom prst="rect"/>
                  </pic:spPr>
                </pic:pic>
              </a:graphicData>
            </a:graphic>
          </wp:inline>
        </w:drawing>
      </w:r>
    </w:p>
    <w:p>
      <w:pPr>
        <w:spacing w:after="240"/>
        <w:jc w:val="center"/>
      </w:pPr>
      <w:r>
        <w:rPr>
          <w:b/>
          <w:color w:val="0C2C56"/>
          <w:sz w:val="20"/>
        </w:rPr>
        <w:t>Figure 4.6: Continuous Integration, Docker Containerization and Deployment Pipeline.</w:t>
      </w:r>
    </w:p>
    <w:p>
      <w:pPr>
        <w:spacing w:before="360" w:after="240"/>
      </w:pPr>
      <w:r>
        <w:rPr>
          <w:b/>
          <w:color w:val="0C2C56"/>
          <w:sz w:val="32"/>
        </w:rPr>
        <w:t>Chapter 5: Design &amp; Implementation of Backend Services</w:t>
      </w:r>
    </w:p>
    <w:p>
      <w:pPr>
        <w:spacing w:before="280" w:after="120"/>
      </w:pPr>
      <w:r>
        <w:rPr>
          <w:b/>
          <w:color w:val="184C78"/>
          <w:sz w:val="28"/>
        </w:rPr>
        <w:t>5.1 Implementation Highlights</w:t>
      </w:r>
    </w:p>
    <w:p>
      <w:r>
        <w:t>The backend codebase was implemented in TypeScript adhering to clean architecture. Key implemented components include: 1) Stateless JWT Strategy and declarative RolesGuard for RBAC, 2) TicketController and TicketService incorporating SLA breach timers and MongoDB Optimistic Concurrency Control, 3) Asynchronous SMS Queue Producer and parallel BullMQ Worker Consumer with Token Bucket rate limiting, and 4) Webhook HMAC-SHA256 signature verification middleware.</w:t>
      </w:r>
    </w:p>
    <w:p>
      <w:pPr>
        <w:spacing w:before="360" w:after="240"/>
      </w:pPr>
      <w:r>
        <w:rPr>
          <w:b/>
          <w:color w:val="0C2C56"/>
          <w:sz w:val="32"/>
        </w:rPr>
        <w:t>Chapter 6: Testing, Quality Assurance &amp; DevOps</w:t>
      </w:r>
    </w:p>
    <w:p>
      <w:pPr>
        <w:spacing w:before="280" w:after="120"/>
      </w:pPr>
      <w:r>
        <w:rPr>
          <w:b/>
          <w:color w:val="184C78"/>
          <w:sz w:val="28"/>
        </w:rPr>
        <w:t>6.1 Testing &amp; Empirical Performance Profiling</w:t>
      </w:r>
    </w:p>
    <w:p>
      <w:r>
        <w:t>Automated testing was conducted using Jest for unit test suites and Supertest for API integration specs, achieving &gt;85% code coverage. Load testing via Autocannon and k6 compared uncached database queries against the Redis caching layer under 50 to 1,000 concurrent virtual users.</w:t>
      </w:r>
    </w:p>
    <w:p>
      <w:pPr>
        <w:spacing w:before="240" w:after="80"/>
        <w:jc w:val="center"/>
      </w:pPr>
      <w:r>
        <w:drawing>
          <wp:inline xmlns:a="http://schemas.openxmlformats.org/drawingml/2006/main" xmlns:pic="http://schemas.openxmlformats.org/drawingml/2006/picture">
            <wp:extent cx="5303520" cy="2299334"/>
            <wp:docPr id="10" name="Picture 10"/>
            <wp:cNvGraphicFramePr>
              <a:graphicFrameLocks noChangeAspect="1"/>
            </wp:cNvGraphicFramePr>
            <a:graphic>
              <a:graphicData uri="http://schemas.openxmlformats.org/drawingml/2006/picture">
                <pic:pic>
                  <pic:nvPicPr>
                    <pic:cNvPr id="0" name="benchmark_latency_comparison.png"/>
                    <pic:cNvPicPr/>
                  </pic:nvPicPr>
                  <pic:blipFill>
                    <a:blip r:embed="rId18"/>
                    <a:stretch>
                      <a:fillRect/>
                    </a:stretch>
                  </pic:blipFill>
                  <pic:spPr>
                    <a:xfrm>
                      <a:off x="0" y="0"/>
                      <a:ext cx="5303520" cy="2299334"/>
                    </a:xfrm>
                    <a:prstGeom prst="rect"/>
                  </pic:spPr>
                </pic:pic>
              </a:graphicData>
            </a:graphic>
          </wp:inline>
        </w:drawing>
      </w:r>
    </w:p>
    <w:p>
      <w:pPr>
        <w:spacing w:after="240"/>
        <w:jc w:val="center"/>
      </w:pPr>
      <w:r>
        <w:rPr>
          <w:b/>
          <w:color w:val="0C2C56"/>
          <w:sz w:val="20"/>
        </w:rPr>
        <w:t>Figure 6.1: Digicon CRM API Performance Benchmarks under Increasing Concurrency (Autocannon / k6).</w:t>
      </w:r>
    </w:p>
    <w:p>
      <w:r>
        <w:t>Empirical results demonstrated that at 1,000 concurrency, the Redis cache-aside layer reduced response latency from 1,250.6 ms to 65.4 ms (a 94.7% reduction) while expanding system throughput from 1,150 req/sec to 9,200 req/sec.</w:t>
      </w:r>
    </w:p>
    <w:p>
      <w:pPr>
        <w:spacing w:before="360" w:after="240"/>
      </w:pPr>
      <w:r>
        <w:rPr>
          <w:b/>
          <w:color w:val="0C2C56"/>
          <w:sz w:val="32"/>
        </w:rPr>
        <w:t>Chapter 7: Professional Experience, Challenges &amp; Learnings</w:t>
      </w:r>
    </w:p>
    <w:p>
      <w:pPr>
        <w:spacing w:before="280" w:after="120"/>
      </w:pPr>
      <w:r>
        <w:rPr>
          <w:b/>
          <w:color w:val="184C78"/>
          <w:sz w:val="28"/>
        </w:rPr>
        <w:t>7.1 Agile Workflow &amp; Real-World Bottlenecks</w:t>
      </w:r>
    </w:p>
    <w:p>
      <w:r>
        <w:t>Development followed 2-week Agile/Scrum sprints. Critical engineering challenges solved included: 1) Resolving database connection pool exhaustion via PgBouncer pooling limits and Redis cache-aside reads, 2) Eliminating concurrent ticket assignment race conditions using MongoDB optimistic locking, 3) Diagnosing unhandled promise rejections and memory leaks, and 4) Mitigating telco rate limiting (HTTP 429) through Token Bucket rate limiting and exponential backoff retries.</w:t>
      </w:r>
    </w:p>
    <w:p>
      <w:pPr>
        <w:spacing w:before="360" w:after="240"/>
      </w:pPr>
      <w:r>
        <w:rPr>
          <w:b/>
          <w:color w:val="0C2C56"/>
          <w:sz w:val="32"/>
        </w:rPr>
        <w:t>Chapter 8: Conclusion &amp; Future Recommendations</w:t>
      </w:r>
    </w:p>
    <w:p>
      <w:pPr>
        <w:spacing w:before="280" w:after="120"/>
      </w:pPr>
      <w:r>
        <w:rPr>
          <w:b/>
          <w:color w:val="184C78"/>
          <w:sz w:val="28"/>
        </w:rPr>
        <w:t>8.1 Summary &amp; Strategic Recommendations</w:t>
      </w:r>
    </w:p>
    <w:p>
      <w:r>
        <w:t>The industrial attachment successfully bridged undergraduate theory with scalable production engineering. Strategic recommendations for Digicon include: 1) Transitioning from standalone Redis to a distributed Redis Cluster with Sentinel failover, 2) Implementing OpenTelemetry distributed tracing with Jaeger, 3) Introducing Apache Kafka for high-velocity telephony CDR streaming, and 4) Adopting Kubernetes for automated pod autoscaling.</w:t>
      </w:r>
    </w:p>
    <w:p>
      <w:pPr>
        <w:spacing w:before="360" w:after="240"/>
      </w:pPr>
      <w:r>
        <w:rPr>
          <w:b/>
          <w:color w:val="0C2C56"/>
          <w:sz w:val="32"/>
        </w:rPr>
        <w:t>References</w:t>
      </w:r>
    </w:p>
    <w:p>
      <w:r>
        <w:t>[1] R. T. Fielding, 'Architectural Styles and the Design of Network-based Software Architectures,' Ph.D. dissertation, University of California, Irvine, 2000.</w:t>
        <w:br/>
        <w:br/>
      </w:r>
      <w:r>
        <w:t>[2] S. Tilkov and S. Vinoski, 'Node.js: Using JavaScript to build high-performance network programs,' IEEE Internet Computing, vol. 14, no. 6, pp. 80-83, 2010.</w:t>
        <w:br/>
        <w:br/>
      </w:r>
      <w:r>
        <w:t>[3] S. Newman, Building Microservices: Designing Fine-Grained Systems, 2nd ed. O'Reilly Media, 2021.</w:t>
        <w:br/>
        <w:br/>
      </w:r>
      <w:r>
        <w:t>[4] M. Fowler, Refactoring: Improving the Design of Existing Code, 2nd ed. Addison-Wesley, 2018.</w:t>
        <w:br/>
        <w:br/>
      </w:r>
      <w:r>
        <w:t>[5] R. Cattell, 'Scalable SQL and NoSQL data stores,' ACM SIGMOD Record, vol. 39, no. 4, pp. 12-27, 2011.</w:t>
        <w:br/>
        <w:br/>
      </w:r>
      <w:r>
        <w:t>[6] M. Stonebraker, 'SQL databases v. NoSQL databases,' Communications of the ACM, vol. 53, no. 4, pp. 10-11, 2010.</w:t>
        <w:br/>
        <w:br/>
      </w:r>
      <w:r>
        <w:t>[7] M. Jones, J. Bradley, and N. Sakimura, 'JSON Web Token (JWT),' RFC 7519, IETF, 2015.</w:t>
        <w:br/>
        <w:br/>
      </w:r>
      <w:r>
        <w:t>[8] D. Merkel, 'Docker: lightweight Linux containers for consistent development and deployment,' Linux Journal, vol. 2014, no. 239, p. 2, 2014.</w:t>
        <w:br/>
        <w:br/>
      </w:r>
      <w:r>
        <w:t>[9] K. Chodorow, MongoDB: The Definitive Guide. O'Reilly Media, 2013.</w:t>
        <w:br/>
        <w:br/>
      </w:r>
      <w:r>
        <w:t>[10] J. L. Carlson, Redis in Action. Manning Publications, 2013.</w:t>
        <w:br/>
        <w:br/>
      </w:r>
      <w:r>
        <w:t>[11] J. S. Turner, 'New approaches to flow control in packet switching networks,' IEEE Infocom, pp. 1-9, 1986.</w:t>
        <w:br/>
        <w:br/>
      </w:r>
      <w:r>
        <w:t>[12] Open Web Application Security Project, 'OWASP Top 10: Critical Web Application Security Risks,' 2023.</w:t>
        <w:br/>
        <w:br/>
      </w:r>
      <w:r>
        <w:t>[13] Digicon Technologies PLC, 'Corporate Profile and Technology Solutions,' https://www.digicontechnologies.com, 2026.</w:t>
        <w:br/>
        <w:br/>
      </w:r>
      <w:r>
        <w:t>[14] BACCO, 'Annual Industry Review: BPO and ITES in Bangladesh,' 2024.</w:t>
        <w:br/>
        <w:br/>
      </w:r>
    </w:p>
    <w:sectPr w:rsidR="00FC693F" w:rsidRPr="0006063C" w:rsidSect="00034616">
      <w:pgSz w:w="12240" w:h="15840"/>
      <w:pgMar w:top="1440" w:right="144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color w:val="23223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