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Ground-Work Verification, Q1 Journal Readiness Assessment, and Local LLM Orchestration Protocol for NPM Supply Chain Security Research</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Workspace Inspection and Structural Diagnostic</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initial forensic inspection of the uploaded research workspace archive (npm-supply-chain-research-master.zip) reveals a root repository directory (npm-supply-chain-research-master/) containing a .gitignore configuration file alongside a nested compressed archive named NPM_Supply_Chain_IEEE_Anonymous_Source.zip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 manuscript LaTeX sources, bibliography database, and experimental scripts are encapsulated inside a secondary binary zip container within the outer repository structure, automated cloud-level stream parsing confirms the IEEE double-anonymous conference packaging format but cannot directly decompress the inner files without local filesystem access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nested packaging structure necessitates a two-tier verification architecture. The first tier establishes a rigorous, from-scratch empirical baseline derived from the 2024–2026 software supply chain security literature, defining the exact novelty thresholds, ground-truth dataset hygiene standards, and statistical parameters demanded by top-tier security conferences (</w:t>
      </w:r>
      <w:r w:rsidDel="00000000" w:rsidR="00000000" w:rsidRPr="00000000">
        <w:rPr>
          <w:rFonts w:ascii="Google Sans" w:cs="Google Sans" w:eastAsia="Google Sans" w:hAnsi="Google Sans"/>
          <w:i w:val="1"/>
          <w:iCs w:val="1"/>
          <w:color w:val="1f1f1f"/>
          <w:rtl w:val="0"/>
        </w:rPr>
        <w:t xml:space="preserve">USENIX Security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IEEE S&amp;P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ACM CCS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NDSS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ICSE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ASE</w:t>
      </w:r>
      <w:r w:rsidDel="00000000" w:rsidR="00000000" w:rsidRPr="00000000">
        <w:rPr>
          <w:rFonts w:ascii="Google Sans" w:cs="Google Sans" w:eastAsia="Google Sans" w:hAnsi="Google Sans"/>
          <w:color w:val="1f1f1f"/>
          <w:rtl w:val="0"/>
        </w:rPr>
        <w:t xml:space="preserve">) and flagship Q1 journals (</w:t>
      </w:r>
      <w:r w:rsidDel="00000000" w:rsidR="00000000" w:rsidRPr="00000000">
        <w:rPr>
          <w:rFonts w:ascii="Google Sans" w:cs="Google Sans" w:eastAsia="Google Sans" w:hAnsi="Google Sans"/>
          <w:i w:val="1"/>
          <w:iCs w:val="1"/>
          <w:color w:val="1f1f1f"/>
          <w:rtl w:val="0"/>
        </w:rPr>
        <w:t xml:space="preserve">IEEE Transactions on Software Engineering</w:t>
      </w:r>
      <w:r w:rsidDel="00000000" w:rsidR="00000000" w:rsidRPr="00000000">
        <w:rPr>
          <w:rFonts w:ascii="Google Sans" w:cs="Google Sans" w:eastAsia="Google Sans" w:hAnsi="Google Sans"/>
          <w:color w:val="1f1f1f"/>
          <w:rtl w:val="0"/>
        </w:rPr>
        <w:t xml:space="preserve"> [TSE], </w:t>
      </w:r>
      <w:r w:rsidDel="00000000" w:rsidR="00000000" w:rsidRPr="00000000">
        <w:rPr>
          <w:rFonts w:ascii="Google Sans" w:cs="Google Sans" w:eastAsia="Google Sans" w:hAnsi="Google Sans"/>
          <w:i w:val="1"/>
          <w:iCs w:val="1"/>
          <w:color w:val="1f1f1f"/>
          <w:rtl w:val="0"/>
        </w:rPr>
        <w:t xml:space="preserve">ACM Transactions on Software Engineering and Methodology</w:t>
      </w:r>
      <w:r w:rsidDel="00000000" w:rsidR="00000000" w:rsidRPr="00000000">
        <w:rPr>
          <w:rFonts w:ascii="Google Sans" w:cs="Google Sans" w:eastAsia="Google Sans" w:hAnsi="Google Sans"/>
          <w:color w:val="1f1f1f"/>
          <w:rtl w:val="0"/>
        </w:rPr>
        <w:t xml:space="preserve"> [TOSEM], </w:t>
      </w:r>
      <w:r w:rsidDel="00000000" w:rsidR="00000000" w:rsidRPr="00000000">
        <w:rPr>
          <w:rFonts w:ascii="Google Sans" w:cs="Google Sans" w:eastAsia="Google Sans" w:hAnsi="Google Sans"/>
          <w:i w:val="1"/>
          <w:iCs w:val="1"/>
          <w:color w:val="1f1f1f"/>
          <w:rtl w:val="0"/>
        </w:rPr>
        <w:t xml:space="preserve">IEEE Transactions on Dependable and Secure Computing</w:t>
      </w:r>
      <w:r w:rsidDel="00000000" w:rsidR="00000000" w:rsidRPr="00000000">
        <w:rPr>
          <w:rFonts w:ascii="Google Sans" w:cs="Google Sans" w:eastAsia="Google Sans" w:hAnsi="Google Sans"/>
          <w:color w:val="1f1f1f"/>
          <w:rtl w:val="0"/>
        </w:rPr>
        <w:t xml:space="preserve"> [TDSC], and </w:t>
      </w:r>
      <w:r w:rsidDel="00000000" w:rsidR="00000000" w:rsidRPr="00000000">
        <w:rPr>
          <w:rFonts w:ascii="Google Sans" w:cs="Google Sans" w:eastAsia="Google Sans" w:hAnsi="Google Sans"/>
          <w:i w:val="1"/>
          <w:iCs w:val="1"/>
          <w:color w:val="1f1f1f"/>
          <w:rtl w:val="0"/>
        </w:rPr>
        <w:t xml:space="preserve">Springer Empirical Software Engineering</w:t>
      </w:r>
      <w:r w:rsidDel="00000000" w:rsidR="00000000" w:rsidRPr="00000000">
        <w:rPr>
          <w:rFonts w:ascii="Google Sans" w:cs="Google Sans" w:eastAsia="Google Sans" w:hAnsi="Google Sans"/>
          <w:color w:val="1f1f1f"/>
          <w:rtl w:val="0"/>
        </w:rPr>
        <w:t xml:space="preserve"> [EMSE])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second tier deploys a persistent, session-based local Large Language Model (LLM) protocol that unpacks NPM_Supply_Chain_IEEE_Anonymous_Source.zip directly on the local machine, records sequential Markdown audit files inside a dedicated session directory, and establishes an iterative feedback loop to guide the manuscript from an IEEE conference submission to a Q1 journal publication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State-of-the-Art Novelty Verification in NPM Supply Chain Security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clear peer review at a premier IEEE conference and subsequently satisfy the desk-screening and referee thresholds of a Q1 journal, research targeting the npm package ecosystem must demonstrate structural novelty beyond incremental feature engineering or black-box machine learning classification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Between 2024 and 2026, the software supply chain security field transitioned away from simple metadata heuristics, string-distance typosquatting checks, and small unverified malware collections toward large-scale structural, behavioral, and graph-based analysis frameworks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landmark empirical benchmark evaluating 11 npm malicious package detection tools (comprising 16 distinct tool variants) across 6,420 manually verified malicious npm package versions and 7,288 benign packages demonstrated that existing detectors exhibit wide variance, with precision ranging from 50% to 99% and recall ranging from 44% to 99%</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Any new research manuscript claiming novelty in npm malware detection, dependency vulnerability propagation, or supply chain defense must explicitly position its technical contribution relative to five structural principles that govern the modern state of the art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Five Structural Principles Governing NPM Novelty Claims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governing principle is </w:t>
      </w:r>
      <w:r w:rsidDel="00000000" w:rsidR="00000000" w:rsidRPr="00000000">
        <w:rPr>
          <w:rFonts w:ascii="Google Sans" w:cs="Google Sans" w:eastAsia="Google Sans" w:hAnsi="Google Sans"/>
          <w:b w:val="1"/>
          <w:bCs w:val="1"/>
          <w:color w:val="1f1f1f"/>
          <w:rtl w:val="0"/>
        </w:rPr>
        <w:t xml:space="preserve">Capability-Intent Ambiguity</w:t>
      </w:r>
      <w:r w:rsidDel="00000000" w:rsidR="00000000" w:rsidRPr="00000000">
        <w:rPr>
          <w:rFonts w:ascii="Google Sans" w:cs="Google Sans" w:eastAsia="Google Sans" w:hAnsi="Google Sans"/>
          <w:color w:val="1f1f1f"/>
          <w:rtl w:val="0"/>
        </w:rPr>
        <w:t xml:space="preserve">, which acts as the primary root cause of precision-recall trade-offs across the npm ecosystem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Unlike browser-confined JavaScript, Node.js exposes native operating system APIs—such as child_process.exec, child_process.spawn, https.request, filesystem manipulation, and dynamic code evaluation (eval or the Function constructor)—that are invoked identically by both benign utility libraries and malicious payloads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Empirical capability studies confirm that while a large proportion of trivial benign npm packages invoke zero security-sensitive APIs, widely deployed and complex benign packages routinely chain network, filesystem, and subprocess capabilities for legitimate build automation or telemetry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Consequently, any static detector or machine learning classifier that flags isolated API capabilities without disambiguating semantic intent suffers severe false-positive degradation when evaluated against realistic, popular packages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principle is </w:t>
      </w:r>
      <w:r w:rsidDel="00000000" w:rsidR="00000000" w:rsidRPr="00000000">
        <w:rPr>
          <w:rFonts w:ascii="Google Sans" w:cs="Google Sans" w:eastAsia="Google Sans" w:hAnsi="Google Sans"/>
          <w:b w:val="1"/>
          <w:bCs w:val="1"/>
          <w:color w:val="1f1f1f"/>
          <w:rtl w:val="0"/>
        </w:rPr>
        <w:t xml:space="preserve">Attack Surface Mismatch</w:t>
      </w:r>
      <w:r w:rsidDel="00000000" w:rsidR="00000000" w:rsidRPr="00000000">
        <w:rPr>
          <w:rFonts w:ascii="Google Sans" w:cs="Google Sans" w:eastAsia="Google Sans" w:hAnsi="Google Sans"/>
          <w:color w:val="1f1f1f"/>
          <w:rtl w:val="0"/>
        </w:rPr>
        <w:t xml:space="preserve">, a structural blind spot that leaves approximately 22% of real-world npm malware completely undetectable by tools that only inspect JavaScript source code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Adversaries routinely bypass JavaScript Abstract Syntax Tree (AST) analysis by embedding malicious shell commands directly inside package.json lifecycle hooks (such as preinstall and postinstall), executing external .sh scripts (as observed in yb-trust-butils@103.99.99), or running inline bash pipelines that exfiltrate /etc/hosts via curl and base64 encoding (as observed in 4ff-lib-foundation@11.0.7)</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Beyond shell hooks, attackers also exploit inter-package capability vulnerabilities without directly importing sensitive APIs; for example, a malicious package can store a crafted serialized string in a custom "signature" field inside package.json and pass that string to a benign deserialization dependency such as @ungap/structured-clone, achieving arbitrary function creation while keeping its own JavaScript source files superficially benign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Modern detectors such as DONAPI mitigate the shell vector by parsing package.json script fields and .sh files into bash ASTs using bashlex paired with YARA rules, whereas advanced static analyzers track capability flows across transitive deserialization boundaries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principle involves </w:t>
      </w:r>
      <w:r w:rsidDel="00000000" w:rsidR="00000000" w:rsidRPr="00000000">
        <w:rPr>
          <w:rFonts w:ascii="Google Sans" w:cs="Google Sans" w:eastAsia="Google Sans" w:hAnsi="Google Sans"/>
          <w:b w:val="1"/>
          <w:bCs w:val="1"/>
          <w:color w:val="1f1f1f"/>
          <w:rtl w:val="0"/>
        </w:rPr>
        <w:t xml:space="preserve">Behavioral Coupling and Execution Staging</w:t>
      </w:r>
      <w:r w:rsidDel="00000000" w:rsidR="00000000" w:rsidRPr="00000000">
        <w:rPr>
          <w:rFonts w:ascii="Google Sans" w:cs="Google Sans" w:eastAsia="Google Sans" w:hAnsi="Google Sans"/>
          <w:color w:val="1f1f1f"/>
          <w:rtl w:val="0"/>
        </w:rPr>
        <w:t xml:space="preserve">, which categorize supply chain attacks across three lifecycle phases: </w:t>
      </w:r>
      <w:r w:rsidDel="00000000" w:rsidR="00000000" w:rsidRPr="00000000">
        <w:rPr>
          <w:rFonts w:ascii="Google Sans" w:cs="Google Sans" w:eastAsia="Google Sans" w:hAnsi="Google Sans"/>
          <w:i w:val="1"/>
          <w:iCs w:val="1"/>
          <w:color w:val="1f1f1f"/>
          <w:rtl w:val="0"/>
        </w:rPr>
        <w:t xml:space="preserve">install-time attacks</w:t>
      </w:r>
      <w:r w:rsidDel="00000000" w:rsidR="00000000" w:rsidRPr="00000000">
        <w:rPr>
          <w:rFonts w:ascii="Google Sans" w:cs="Google Sans" w:eastAsia="Google Sans" w:hAnsi="Google Sans"/>
          <w:color w:val="1f1f1f"/>
          <w:rtl w:val="0"/>
        </w:rPr>
        <w:t xml:space="preserve"> (triggered automatically during npm install via lifecycle hooks), </w:t>
      </w:r>
      <w:r w:rsidDel="00000000" w:rsidR="00000000" w:rsidRPr="00000000">
        <w:rPr>
          <w:rFonts w:ascii="Google Sans" w:cs="Google Sans" w:eastAsia="Google Sans" w:hAnsi="Google Sans"/>
          <w:i w:val="1"/>
          <w:iCs w:val="1"/>
          <w:color w:val="1f1f1f"/>
          <w:rtl w:val="0"/>
        </w:rPr>
        <w:t xml:space="preserve">import-time attacks</w:t>
      </w:r>
      <w:r w:rsidDel="00000000" w:rsidR="00000000" w:rsidRPr="00000000">
        <w:rPr>
          <w:rFonts w:ascii="Google Sans" w:cs="Google Sans" w:eastAsia="Google Sans" w:hAnsi="Google Sans"/>
          <w:color w:val="1f1f1f"/>
          <w:rtl w:val="0"/>
        </w:rPr>
        <w:t xml:space="preserve"> (triggered when a downstream module invokes require() or import on the package entry file specified in main), and </w:t>
      </w:r>
      <w:r w:rsidDel="00000000" w:rsidR="00000000" w:rsidRPr="00000000">
        <w:rPr>
          <w:rFonts w:ascii="Google Sans" w:cs="Google Sans" w:eastAsia="Google Sans" w:hAnsi="Google Sans"/>
          <w:i w:val="1"/>
          <w:iCs w:val="1"/>
          <w:color w:val="1f1f1f"/>
          <w:rtl w:val="0"/>
        </w:rPr>
        <w:t xml:space="preserve">runtime attacks</w:t>
      </w:r>
      <w:r w:rsidDel="00000000" w:rsidR="00000000" w:rsidRPr="00000000">
        <w:rPr>
          <w:rFonts w:ascii="Google Sans" w:cs="Google Sans" w:eastAsia="Google Sans" w:hAnsi="Google Sans"/>
          <w:color w:val="1f1f1f"/>
          <w:rtl w:val="0"/>
        </w:rPr>
        <w:t xml:space="preserve"> (concealed within exported functional methods that trigger only when specific downstream calls occur)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Because adversaries heavily concentrate payloads in entry files while applying code transformations such as string obfuscation, compression, or dynamic runtime reconstruction to evade static signatures, high-novelty detection requires modeling multi-step behavior sequences—such as DONAPI's hierarchical knowledge base mapping 806 sensitive API calls into 44 behavior sequences—across 11 distinct behavior categories (Command Execution, Data Exfiltration, Reverse Shell, Credential Theft, Malicious Download, Persistence, Dynamic Code Execution, File Manipulation, and related tactics) and 8 evasion techniques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fourth principle is </w:t>
      </w:r>
      <w:r w:rsidDel="00000000" w:rsidR="00000000" w:rsidRPr="00000000">
        <w:rPr>
          <w:rFonts w:ascii="Google Sans" w:cs="Google Sans" w:eastAsia="Google Sans" w:hAnsi="Google Sans"/>
          <w:b w:val="1"/>
          <w:bCs w:val="1"/>
          <w:color w:val="1f1f1f"/>
          <w:rtl w:val="0"/>
        </w:rPr>
        <w:t xml:space="preserve">Concept Convergence and Temporal Degradation</w:t>
      </w:r>
      <w:r w:rsidDel="00000000" w:rsidR="00000000" w:rsidRPr="00000000">
        <w:rPr>
          <w:rFonts w:ascii="Google Sans" w:cs="Google Sans" w:eastAsia="Google Sans" w:hAnsi="Google Sans"/>
          <w:color w:val="1f1f1f"/>
          <w:rtl w:val="0"/>
        </w:rPr>
        <w:t xml:space="preserve">, which invalidates static machine learning evaluations that rely on random cross-validation splits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As batch-poisoning campaigns, dependency confusion attacks (such as the CloudSEK TXTBOOK campaign where 993 public npm packages mimicked a single bank's private internal namespace, or the PyTorch torchtriton nightly build compromise), and AI-hallucinated package registrations ("slopsquatting") evolve over time, classifiers trained on older attack patterns experience rapid temporal decay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Recent cross-ecosystem research across npm and PyPI demonstrates that reformulating detection from an </w:t>
      </w:r>
      <w:r w:rsidDel="00000000" w:rsidR="00000000" w:rsidRPr="00000000">
        <w:rPr>
          <w:rFonts w:ascii="Google Sans" w:cs="Google Sans" w:eastAsia="Google Sans" w:hAnsi="Google Sans"/>
          <w:i w:val="1"/>
          <w:iCs w:val="1"/>
          <w:color w:val="1f1f1f"/>
          <w:rtl w:val="0"/>
        </w:rPr>
        <w:t xml:space="preserve">absolute-judgment question</w:t>
      </w:r>
      <w:r w:rsidDel="00000000" w:rsidR="00000000" w:rsidRPr="00000000">
        <w:rPr>
          <w:rFonts w:ascii="Google Sans" w:cs="Google Sans" w:eastAsia="Google Sans" w:hAnsi="Google Sans"/>
          <w:color w:val="1f1f1f"/>
          <w:rtl w:val="0"/>
        </w:rPr>
        <w:t xml:space="preserve"> ("is this code archive malicious?") into a </w:t>
      </w:r>
      <w:r w:rsidDel="00000000" w:rsidR="00000000" w:rsidRPr="00000000">
        <w:rPr>
          <w:rFonts w:ascii="Google Sans" w:cs="Google Sans" w:eastAsia="Google Sans" w:hAnsi="Google Sans"/>
          <w:i w:val="1"/>
          <w:iCs w:val="1"/>
          <w:color w:val="1f1f1f"/>
          <w:rtl w:val="0"/>
        </w:rPr>
        <w:t xml:space="preserve">relative version-context question</w:t>
      </w:r>
      <w:r w:rsidDel="00000000" w:rsidR="00000000" w:rsidRPr="00000000">
        <w:rPr>
          <w:rFonts w:ascii="Google Sans" w:cs="Google Sans" w:eastAsia="Google Sans" w:hAnsi="Google Sans"/>
          <w:color w:val="1f1f1f"/>
          <w:rtl w:val="0"/>
        </w:rPr>
        <w:t xml:space="preserve"> ("what behavioral delta did this version update introduce relative to the package's historical baseline?") provides superior resilience against compromised maintainer credentials and poisoned continuous-integration tokens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fifth principle establishes that </w:t>
      </w:r>
      <w:r w:rsidDel="00000000" w:rsidR="00000000" w:rsidRPr="00000000">
        <w:rPr>
          <w:rFonts w:ascii="Google Sans" w:cs="Google Sans" w:eastAsia="Google Sans" w:hAnsi="Google Sans"/>
          <w:b w:val="1"/>
          <w:bCs w:val="1"/>
          <w:color w:val="1f1f1f"/>
          <w:rtl w:val="0"/>
        </w:rPr>
        <w:t xml:space="preserve">Complementarity Minus False-Positive Introduction Governs Tool Combination</w:t>
      </w:r>
      <w:r w:rsidDel="00000000" w:rsidR="00000000" w:rsidRPr="00000000">
        <w:rPr>
          <w:rFonts w:ascii="Google Sans" w:cs="Google Sans" w:eastAsia="Google Sans" w:hAnsi="Google Sans"/>
          <w:color w:val="1f1f1f"/>
          <w:rtl w:val="0"/>
        </w:rPr>
        <w:t xml:space="preserve">, refuting the common assumption that combining diverse paradigms automatically improves detection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White-box inspection of 11 tools and 16 variants proves that multi-tool ensembles succeed only when secondary detectors capture orthogonal evasion surfaces without injecting uncorrelated false positives, reaching 96.08% accuracy and 95.79% F1 under strategic pairing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hybrid architectures, pairing high-coverage static localizers (such as GuardDog's taint rules and OSSGadget's regex rules) or Graph Neural Network (GNN) attention weights with downstream LLM semantic analysis resolves capability-intent ambiguity while avoiding the context-window failures that afflict standalone LLMs on large or obfuscated repositories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200650" cy="83820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200650"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provide an exact empirical reference for auditing the local workspace, Table 1 synthesizes the corpus sizes, availability statuses, and analytical paradigms of the major npm malicious package benchmarks and detection tools published between 2020 and 2026</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Benchmark / Tool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Publication Year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Curated Malicious Packages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Curated Malicious Versions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Publicly Downloadable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Detection / Analysis Paradigm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Technical Mechanism or Limitation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BKC (Ohm et 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Taxonomy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attack review; predates modern slopsquatting and LLM evasion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MalOSS (Duan et 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 Static + Dynamic + Metadata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Captures runtime behavior accurately but incurs high dynamic execution overhead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AMALFI (Sejfia &amp; Schäfer)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Machine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Lightweight metadata/update feature classifier; avoids deep static/dynamic overhead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Scalco et 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Small-scale evaluation corpus; insufficient for modern Q1 statistical power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SAP (Ladisa et 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Attack Taxonomy &amp; Features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Cross-ecosystem feature mapping; very small npm version sample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Cerebro (Zhang et 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1,789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1,789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Sequence / Behavioral 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Models malicious behavior sequences across registries; dataset not publicly available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DataDog / GuardDog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 / 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AST Taint &amp; Semgrep Rules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High-precision taint rules locating 1.57 suspicious sites per package (10,059 total)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OSSGadget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Multi-ecosystem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Multi-ecosystem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(Tool)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Regex Rules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Broad regex coverage locating 4.26 sites per package (27,350 total), including encoded strings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DONAPI (Huang et 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Behavior Sequence + bashlex + YARA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Maps 806 sensitive APIs and 44 behavior sequences; parses package.json shell hooks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Maltracker (Yu et 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 LLM Hybrid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Combines static analysis with LLM classification on a small 230-version corpus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SpiderScan (Huang et 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Graph / Behavior Scan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Unavailable dataset; limited version scale compared to 2025–2026 benchmarks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SocketAI (Zahan et 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 / 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2,776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LLM-Based Detection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Evaluates LLM zero/few-shot detection on npm packages; struggles on large/obfuscated projects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Unified Benchmark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 /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4,286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6,420 (+7,288 benign)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White-Box Multi-Tool Evaluation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Evaluates 11 tools (16 variants) across 11 behaviors and 8 evasion techniques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Ground-Work Verification of Dataset Hygiene and Evaluation Bias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expanding a conference manuscript for a Q1 journal such as </w:t>
      </w:r>
      <w:r w:rsidDel="00000000" w:rsidR="00000000" w:rsidRPr="00000000">
        <w:rPr>
          <w:rFonts w:ascii="Google Sans" w:cs="Google Sans" w:eastAsia="Google Sans" w:hAnsi="Google Sans"/>
          <w:i w:val="1"/>
          <w:iCs w:val="1"/>
          <w:color w:val="1f1f1f"/>
          <w:rtl w:val="0"/>
        </w:rPr>
        <w:t xml:space="preserve">IEEE TSE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ACM TOSEM</w:t>
      </w:r>
      <w:r w:rsidDel="00000000" w:rsidR="00000000" w:rsidRPr="00000000">
        <w:rPr>
          <w:rFonts w:ascii="Google Sans" w:cs="Google Sans" w:eastAsia="Google Sans" w:hAnsi="Google Sans"/>
          <w:color w:val="1f1f1f"/>
          <w:rtl w:val="0"/>
        </w:rPr>
        <w:t xml:space="preserve">, peer reviewers examine the experimental dataset for structural artifacts that artificially inflate performance metrics or violate statistical independence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Four specific methodological vulnerabilities frequently cause desk or referee rejections in software supply chain studies.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0.0.1-security Takedown Placeholder Trap</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official npm registry removes a reported malicious package, it replaces the malicious tarball with an inert placeholder version marked 0.0.1-security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Automated collection scripts that scrape package names from public advisories (such as OSV or Snyk) and pull tarballs from mirrors without verifying payload contents routinely ingest these empty takedown stubs as malicious ground truth</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a curation audit of 9,551 raw malicious npm versions gathered across academic datasets and advisories, 1,502 versions (15.7%) were found to be 0.0.1-security placeholders that no longer contained malicious code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If the local workspace's training or evaluation corpus retains uncleaned 0.0.1-security stubs, any classifier trained on that dataset is learning to identify registry takedown templates rather than actual supply chain malware, which invalidates construct validity at Q1 venues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Advisory Mislabeling and Multi-Version Independence Violations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 after removing 262 cross-dataset duplicates and 1,502 0.0.1-security placeholders from the 9,551 raw versions, independent manual inspection of the remaining 7,787 versions by three PhD supply chain security specialists (requiring 287 expert-hours under a two-of-three majority agreement rule) identified and removed 1,367 false positives (17.6%) caused by mislabeled benign packages or outdated annotations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the surviving 6,420 verified malicious versions belong to 4,286 unique packages, representing an average of 1.50 versions per unique package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As Kitchenham et al. demonstrated in their 2025 </w:t>
      </w:r>
      <w:r w:rsidDel="00000000" w:rsidR="00000000" w:rsidRPr="00000000">
        <w:rPr>
          <w:rFonts w:ascii="Google Sans" w:cs="Google Sans" w:eastAsia="Google Sans" w:hAnsi="Google Sans"/>
          <w:i w:val="1"/>
          <w:iCs w:val="1"/>
          <w:color w:val="1f1f1f"/>
          <w:rtl w:val="0"/>
        </w:rPr>
        <w:t xml:space="preserve">IEEE TSE</w:t>
      </w:r>
      <w:r w:rsidDel="00000000" w:rsidR="00000000" w:rsidRPr="00000000">
        <w:rPr>
          <w:rFonts w:ascii="Google Sans" w:cs="Google Sans" w:eastAsia="Google Sans" w:hAnsi="Google Sans"/>
          <w:color w:val="1f1f1f"/>
          <w:rtl w:val="0"/>
        </w:rPr>
        <w:t xml:space="preserve"> empirical guidelines review—citing a rejected manuscript that treated 181,613 repeated release measurements across 7,454 unique classes as independent observations—treating multiple versions of the same evolving software package as statistically independent samples invalidates formal statistical tests and introduces severe train-test data leakage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Consequently, all cross-validation and temporal splits in the local workspace must partition data strictly by unique package identity or campaign family rather than by individual version archive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Benign Sampling Bias and Metadata Compressibility Artifacts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detector's operational viability depends on its false-positive rate when scanning benign packages that developers actually deploy in production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Randomly sampling obscure packages from the npm registry artificially depresses false-positive rates because randomly chosen packages are predominantly tiny, trivial modules that invoke zero sensitive OS APIs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By contrast, constructing the benign control set from the most popular npm packages by monthly download count (such as the 7,288 popular benign packages verified clean against OSV and Snyk, or packages hosted for more than 90 days with over 1,000 downloads) introduces large, complex codebases that stress-test capability-intent resolution and yield a conservative precision estimate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Researchers must also test for </w:t>
      </w:r>
      <w:r w:rsidDel="00000000" w:rsidR="00000000" w:rsidRPr="00000000">
        <w:rPr>
          <w:rFonts w:ascii="Google Sans" w:cs="Google Sans" w:eastAsia="Google Sans" w:hAnsi="Google Sans"/>
          <w:i w:val="1"/>
          <w:iCs w:val="1"/>
          <w:color w:val="1f1f1f"/>
          <w:rtl w:val="0"/>
        </w:rPr>
        <w:t xml:space="preserve">metadata compressibility bias</w:t>
      </w:r>
      <w:r w:rsidDel="00000000" w:rsidR="00000000" w:rsidRPr="00000000">
        <w:rPr>
          <w:rFonts w:ascii="Google Sans" w:cs="Google Sans" w:eastAsia="Google Sans" w:hAnsi="Google Sans"/>
          <w:color w:val="1f1f1f"/>
          <w:rtl w:val="0"/>
        </w:rPr>
        <w:t xml:space="preserve">, a phenomenon in which machine learning models achieve deceptively high accuracy by exploiting superficial differences in package.json entropy and archive compressibility between hastily generated malware and mature benign projects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Package-Level vs. Function-Level Reachability in Vulnerability Propagation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research workspace models vulnerability propagation across npm dependency networks (analogous to studies on the "Original Sin of npm" or SBOM graph embeddings), package-level dependency resolution alone is insufficient for Q1 acceptance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Large-scale empirical investigation published in </w:t>
      </w:r>
      <w:r w:rsidDel="00000000" w:rsidR="00000000" w:rsidRPr="00000000">
        <w:rPr>
          <w:rFonts w:ascii="Google Sans" w:cs="Google Sans" w:eastAsia="Google Sans" w:hAnsi="Google Sans"/>
          <w:i w:val="1"/>
          <w:iCs w:val="1"/>
          <w:color w:val="1f1f1f"/>
          <w:rtl w:val="0"/>
        </w:rPr>
        <w:t xml:space="preserve">Empirical Software Engineering</w:t>
      </w:r>
      <w:r w:rsidDel="00000000" w:rsidR="00000000" w:rsidRPr="00000000">
        <w:rPr>
          <w:rFonts w:ascii="Google Sans" w:cs="Google Sans" w:eastAsia="Google Sans" w:hAnsi="Google Sans"/>
          <w:color w:val="1f1f1f"/>
          <w:rtl w:val="0"/>
        </w:rPr>
        <w:t xml:space="preserve"> (2025) proves that while 99% of vulnerabilities in client applications originate in third-party dependencies, </w:t>
      </w:r>
      <w:r w:rsidDel="00000000" w:rsidR="00000000" w:rsidRPr="00000000">
        <w:rPr>
          <w:rFonts w:ascii="Google Sans" w:cs="Google Sans" w:eastAsia="Google Sans" w:hAnsi="Google Sans"/>
          <w:b w:val="1"/>
          <w:bCs w:val="1"/>
          <w:color w:val="1f1f1f"/>
          <w:rtl w:val="0"/>
        </w:rPr>
        <w:t xml:space="preserve">81.26% of supply chain vulnerabilities flagged by package-level analysis are false positives</w:t>
      </w:r>
      <w:r w:rsidDel="00000000" w:rsidR="00000000" w:rsidRPr="00000000">
        <w:rPr>
          <w:rFonts w:ascii="Google Sans" w:cs="Google Sans" w:eastAsia="Google Sans" w:hAnsi="Google Sans"/>
          <w:color w:val="1f1f1f"/>
          <w:rtl w:val="0"/>
        </w:rPr>
        <w:t xml:space="preserve"> because the vulnerable functions inside those dependencies are never invoked along the client application's execution call graph</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Furthermore, because vulnerability databases frequently lack fine-grained localization metadata, Q1 studies investigating dependency risk propagation must incorporate function-level call-graph reachability or inter-procedural capability tracking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 Roadmap from IEEE Conference Manuscript to Q1 Journal Publication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Upgrading an IEEE conference manuscript into a flagship Q1 journal article (</w:t>
      </w:r>
      <w:r w:rsidDel="00000000" w:rsidR="00000000" w:rsidRPr="00000000">
        <w:rPr>
          <w:rFonts w:ascii="Google Sans" w:cs="Google Sans" w:eastAsia="Google Sans" w:hAnsi="Google Sans"/>
          <w:i w:val="1"/>
          <w:iCs w:val="1"/>
          <w:color w:val="1f1f1f"/>
          <w:rtl w:val="0"/>
        </w:rPr>
        <w:t xml:space="preserve">IEEE TSE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ACM TOSEM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IEEE TDSC</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EMSE</w:t>
      </w:r>
      <w:r w:rsidDel="00000000" w:rsidR="00000000" w:rsidRPr="00000000">
        <w:rPr>
          <w:rFonts w:ascii="Google Sans" w:cs="Google Sans" w:eastAsia="Google Sans" w:hAnsi="Google Sans"/>
          <w:color w:val="1f1f1f"/>
          <w:rtl w:val="0"/>
        </w:rPr>
        <w:t xml:space="preserve">) requires substantial technical expansion (typically 30% to 50% new empirical and analytical material, up to 35 double-spaced single-column pages for </w:t>
      </w:r>
      <w:r w:rsidDel="00000000" w:rsidR="00000000" w:rsidRPr="00000000">
        <w:rPr>
          <w:rFonts w:ascii="Google Sans" w:cs="Google Sans" w:eastAsia="Google Sans" w:hAnsi="Google Sans"/>
          <w:i w:val="1"/>
          <w:iCs w:val="1"/>
          <w:color w:val="1f1f1f"/>
          <w:rtl w:val="0"/>
        </w:rPr>
        <w:t xml:space="preserve">IEEE TSE</w:t>
      </w:r>
      <w:r w:rsidDel="00000000" w:rsidR="00000000" w:rsidRPr="00000000">
        <w:rPr>
          <w:rFonts w:ascii="Google Sans" w:cs="Google Sans" w:eastAsia="Google Sans" w:hAnsi="Google Sans"/>
          <w:color w:val="1f1f1f"/>
          <w:rtl w:val="0"/>
        </w:rPr>
        <w:t xml:space="preserve"> regular papers) alongside strict compliance with the </w:t>
      </w:r>
      <w:r w:rsidDel="00000000" w:rsidR="00000000" w:rsidRPr="00000000">
        <w:rPr>
          <w:rFonts w:ascii="Google Sans" w:cs="Google Sans" w:eastAsia="Google Sans" w:hAnsi="Google Sans"/>
          <w:b w:val="1"/>
          <w:bCs w:val="1"/>
          <w:color w:val="1f1f1f"/>
          <w:rtl w:val="0"/>
        </w:rPr>
        <w:t xml:space="preserve">ACM SIGSOFT Empirical Standards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Across premier software engineering journals, peer review is governed by a foundational principle: </w:t>
      </w:r>
      <w:r w:rsidDel="00000000" w:rsidR="00000000" w:rsidRPr="00000000">
        <w:rPr>
          <w:rFonts w:ascii="Google Sans" w:cs="Google Sans" w:eastAsia="Google Sans" w:hAnsi="Google Sans"/>
          <w:i w:val="1"/>
          <w:iCs w:val="1"/>
          <w:color w:val="1f1f1f"/>
          <w:rtl w:val="0"/>
        </w:rPr>
        <w:t xml:space="preserve">empirical results must be primarily trustworthy (methodologically sound, statistically valid, and reproducible) and secondarily important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 manuscript claiming high accuracy on an unverified dataset will fail review, whereas a trustworthy study that discloses all limitations, validates statistical assumptions, and provides a complete replication package clears editorial and referee screening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1945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055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contrasts standard IEEE conference parameters against the elevated empirical, statistical, and architectural criteria required for Q1 journal publication, mapping each criterion to a concrete verification action in the local workspace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Parameter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IEEE Conference Standard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Q1 Journal Requirement (TSE / TOSEM / TDSC / EMSE)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Concrete Action Required in Local Workspace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Manuscript Length &amp; Expansion 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8–12 double-column pages focused on a single primary technique or preliminary empirical observation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 to 35 double-spaced single-column pages (</w:t>
            </w:r>
            <w:r w:rsidDel="00000000" w:rsidR="00000000" w:rsidRPr="00000000">
              <w:rPr>
                <w:rFonts w:ascii="Google Sans" w:cs="Google Sans" w:eastAsia="Google Sans" w:hAnsi="Google Sans"/>
                <w:i w:val="1"/>
                <w:iCs w:val="1"/>
                <w:color w:val="1f1f1f"/>
                <w:rtl w:val="0"/>
              </w:rPr>
              <w:t xml:space="preserve">IEEE TSE</w:t>
            </w:r>
            <w:r w:rsidDel="00000000" w:rsidR="00000000" w:rsidRPr="00000000">
              <w:rPr>
                <w:rFonts w:ascii="Google Sans" w:cs="Google Sans" w:eastAsia="Google Sans" w:hAnsi="Google Sans"/>
                <w:color w:val="1f1f1f"/>
                <w:rtl w:val="0"/>
              </w:rPr>
              <w:t xml:space="preserve">) with a 100–200 word abstract (</w:t>
            </w:r>
            <w:r w:rsidDel="00000000" w:rsidR="00000000" w:rsidRPr="00000000">
              <w:rPr>
                <w:rFonts w:ascii="Google Sans" w:cs="Google Sans" w:eastAsia="Google Sans" w:hAnsi="Google Sans"/>
                <w:i w:val="1"/>
                <w:iCs w:val="1"/>
                <w:color w:val="1f1f1f"/>
                <w:rtl w:val="0"/>
              </w:rPr>
              <w:t xml:space="preserve">TSE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441722" cy="172848"/>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41722" cy="1728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word structured abstract (</w:t>
            </w:r>
            <w:r w:rsidDel="00000000" w:rsidR="00000000" w:rsidRPr="00000000">
              <w:rPr>
                <w:rFonts w:ascii="Google Sans" w:cs="Google Sans" w:eastAsia="Google Sans" w:hAnsi="Google Sans"/>
                <w:i w:val="1"/>
                <w:iCs w:val="1"/>
                <w:color w:val="1f1f1f"/>
                <w:rtl w:val="0"/>
              </w:rPr>
              <w:t xml:space="preserve">EMSE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499319" cy="172841"/>
                  <wp:effectExtent b="0" l="0" r="0" t="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99319" cy="1728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new material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Expand conference manuscript with deep structural root-cause analysis, cross-ecosystem validation, and white-box tool inspection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Ground-Truth Hygiene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Aggregation of 200–2,000 packages from 1–3 public datasets (e.g., BKC, DataDog) without manual code re-verification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Multi-source benchmark (</w:t>
            </w:r>
            <w:r w:rsidDel="00000000" w:rsidR="00000000" w:rsidRPr="00000000">
              <w:rPr>
                <w:rFonts w:ascii="Google Sans" w:cs="Google Sans" w:eastAsia="Google Sans" w:hAnsi="Google Sans"/>
                <w:color w:val="1f1f1f"/>
              </w:rPr>
              <w:drawing>
                <wp:inline distB="19050" distT="19050" distL="19050" distR="19050">
                  <wp:extent cx="604986" cy="170152"/>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04986" cy="1701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unique malicious packages / </w:t>
            </w:r>
            <w:r w:rsidDel="00000000" w:rsidR="00000000" w:rsidRPr="00000000">
              <w:rPr>
                <w:rFonts w:ascii="Google Sans" w:cs="Google Sans" w:eastAsia="Google Sans" w:hAnsi="Google Sans"/>
                <w:color w:val="1f1f1f"/>
              </w:rPr>
              <w:drawing>
                <wp:inline distB="19050" distT="19050" distL="19050" distR="19050">
                  <wp:extent cx="604986" cy="170152"/>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04986" cy="1701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versions) explicitly stripped of 0.0.1-security stubs and verified for inter-rater agreement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 local audit script to purge 0.0.1-security placeholders, deduplicate (name, version) pairs, and group splits by package family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Benign Control Construction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Random sampling of registry packages or small synthetic control sets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Popularity-stratified benign control (</w:t>
            </w:r>
            <w:r w:rsidDel="00000000" w:rsidR="00000000" w:rsidRPr="00000000">
              <w:rPr>
                <w:rFonts w:ascii="Google Sans" w:cs="Google Sans" w:eastAsia="Google Sans" w:hAnsi="Google Sans"/>
                <w:color w:val="1f1f1f"/>
              </w:rPr>
              <w:drawing>
                <wp:inline distB="19050" distT="19050" distL="19050" distR="19050">
                  <wp:extent cx="604986" cy="170152"/>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04986" cy="1701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422523" cy="17285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22523" cy="1728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top packages by downloads, </w:t>
            </w:r>
            <w:r w:rsidDel="00000000" w:rsidR="00000000" w:rsidRPr="00000000">
              <w:rPr>
                <w:rFonts w:ascii="Google Sans" w:cs="Google Sans" w:eastAsia="Google Sans" w:hAnsi="Google Sans"/>
                <w:color w:val="1f1f1f"/>
              </w:rPr>
              <w:drawing>
                <wp:inline distB="19050" distT="19050" distL="19050" distR="19050">
                  <wp:extent cx="355253" cy="172826"/>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55253" cy="1728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days old, verified against OSV/Snyk) plus historical version-context controls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Replace or augment random benign samples with high-download popular npm packages to stress-test false-positive resilience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Attack Surface Coverage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Single-surface inspection (e.g., JavaScript ASTs only or package.json metadata only)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Multi-surface coverage spanning JS ASTs, package.json lifecycle hooks (bashlex ASTs), .sh files, and transitive capability deserialization across 11 behaviors and 8 evasions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Quantify the exact percentage of dataset samples that rely on non-JS vectors and evaluate how the proposed architecture handles the 22% non-JS gap</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Baseline Breadth &amp; Depth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Black-box metric comparison against 2–4 baselines (often default ML classifiers or a single rule scanner)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White-box source-level comparison against 8–11 specialized tools (13–16 variants, including GuardDog, OSSGadget, DONAPI, MalOSS, AMALFI, and LLM agents)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 against rule-based (GuardDog, OSSGadget), sequence-based (DONAPI), and GNN/LLM baselines; explain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baselines fail at the code mechanism level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Statistical &amp; Empirical Rigor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Reporting aggregate Precision, Recall, and F1 on a single train/test split without variance or effect sizes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Parametric/non-parametric significance tests with validated assumptions, effect sizes with confidence intervals, temporal pre/post-cutoff splits, and offline raw data persistence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Compute confidence intervals and effect sizes (e.g., Cliff's delta or odds ratios), enforce strict chronological train/test splits (2020–2023 vs. 2024–2025), and log raw per-package predictions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Practical Operationalization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Proof-of-concept accuracy numbers without deployment context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Quantification of runtime overhead (ms/package), false-positive triage burden per 10,000 publishes, and integration with CI/CD cooldowns (3–7 days), OIDC provenance, and SBOM pipelines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Measure wall-clock latency, memory footprint, and LLM token cost per package; model how the tool operates within a 3–7 day CI/CD release cooldown window</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Open Science &amp; Validity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Brief paragraph on limitations; partial or missing code release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Threats to Validity (Internal, External, Construct, Conclusion) plus a permanent Zenodo/figshare replication package with all scripts and taxonomy labels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 the replication repository for double-anonymous peer review and write a 4-part Threats to Validity section aligned with ACM SIGSOFT Empirical Standards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Extensions to Achieve Q1 Journal Impact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Moving beyond baseline methodological compliance requires four targeted analytical extensions that elevate the work from a solid conference paper to a flagship journal contribution.</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Formalizing Code Localization and Complementarity</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manuscript proposes a multi-stage or hybrid detection architecture, the journal extension should formally quantify how each stage resolves </w:t>
      </w:r>
      <w:r w:rsidDel="00000000" w:rsidR="00000000" w:rsidRPr="00000000">
        <w:rPr>
          <w:rFonts w:ascii="Google Sans" w:cs="Google Sans" w:eastAsia="Google Sans" w:hAnsi="Google Sans"/>
          <w:i w:val="1"/>
          <w:iCs w:val="1"/>
          <w:color w:val="1f1f1f"/>
          <w:rtl w:val="0"/>
        </w:rPr>
        <w:t xml:space="preserve">capability-intent ambiguity</w:t>
      </w:r>
      <w:r w:rsidDel="00000000" w:rsidR="00000000" w:rsidRPr="00000000">
        <w:rPr>
          <w:rFonts w:ascii="Google Sans" w:cs="Google Sans" w:eastAsia="Google Sans" w:hAnsi="Google Sans"/>
          <w:color w:val="1f1f1f"/>
          <w:rtl w:val="0"/>
        </w:rPr>
        <w:t xml:space="preserve"> without inflating false positives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Rather than passing entire package repositories into an expensive deep learning or LLM verifier—which degrades sharply on large projects and obfuscated code—state-of-the-art pipelines employ fast static localizers first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Empirical localization benchmarks show that combining GuardDog's taint-based rules (which flag 10,059 locations, or 1.57 per package) with OSSGadget's broad regex rules (which flag 27,350 locations, or 4.26 per package) successfully isolates malicious code in 6,352 out of 6,420 packages (98.94%), leaving only 68 packages (1.06%) unlocalized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Alternatively, graph-based approaches calculate degree centrality across AST-derived API call graphs or extract trained GNN attention weights using binary package labels to isolate suspicious subgraphs before invoking semantic LLM analysis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Demonstrating through systematic ablation that the proposed localization-to-verification handoff satisfies the law of </w:t>
      </w:r>
      <w:r w:rsidDel="00000000" w:rsidR="00000000" w:rsidRPr="00000000">
        <w:rPr>
          <w:rFonts w:ascii="Google Sans" w:cs="Google Sans" w:eastAsia="Google Sans" w:hAnsi="Google Sans"/>
          <w:i w:val="1"/>
          <w:iCs w:val="1"/>
          <w:color w:val="1f1f1f"/>
          <w:rtl w:val="0"/>
        </w:rPr>
        <w:t xml:space="preserve">complementarity minus false-positive introduction</w:t>
      </w:r>
      <w:r w:rsidDel="00000000" w:rsidR="00000000" w:rsidRPr="00000000">
        <w:rPr>
          <w:rFonts w:ascii="Google Sans" w:cs="Google Sans" w:eastAsia="Google Sans" w:hAnsi="Google Sans"/>
          <w:color w:val="1f1f1f"/>
          <w:rtl w:val="0"/>
        </w:rPr>
        <w:t xml:space="preserve"> provides a compelling theoretical anchor for </w:t>
      </w:r>
      <w:r w:rsidDel="00000000" w:rsidR="00000000" w:rsidRPr="00000000">
        <w:rPr>
          <w:rFonts w:ascii="Google Sans" w:cs="Google Sans" w:eastAsia="Google Sans" w:hAnsi="Google Sans"/>
          <w:i w:val="1"/>
          <w:iCs w:val="1"/>
          <w:color w:val="1f1f1f"/>
          <w:rtl w:val="0"/>
        </w:rPr>
        <w:t xml:space="preserve">IEEE TSE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IEEE TDSC</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Cross-Ecosystem Generalization and Version-Context Control Construction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Premier software engineering journals strongly favor methodologies that generalize across multiple package registries rather than remaining coupled to npm-specific syntax</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Extending the experimental evaluation to PyPI (for example, validating against the 9,408 malicious and 14,005 benign PyPI packages used in recent agentic benchmarks, or the multi-ecosystem MalCP corpus) proves architectural portability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cross-ecosystem expansion requires harmonizing registry-specific mechanics, such as contrasting PyPI's PEP 503 name normalization (re.sub(r"[-_.]+", "-", name).lower()) and setup.py cmdclass hooks against npm's case-sensitive @scope/name namespaces and package.json preinstall hooks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Simultaneously, integrating </w:t>
      </w:r>
      <w:r w:rsidDel="00000000" w:rsidR="00000000" w:rsidRPr="00000000">
        <w:rPr>
          <w:rFonts w:ascii="Google Sans" w:cs="Google Sans" w:eastAsia="Google Sans" w:hAnsi="Google Sans"/>
          <w:i w:val="1"/>
          <w:iCs w:val="1"/>
          <w:color w:val="1f1f1f"/>
          <w:rtl w:val="0"/>
        </w:rPr>
        <w:t xml:space="preserve">version-context control construction</w:t>
      </w:r>
      <w:r w:rsidDel="00000000" w:rsidR="00000000" w:rsidRPr="00000000">
        <w:rPr>
          <w:rFonts w:ascii="Google Sans" w:cs="Google Sans" w:eastAsia="Google Sans" w:hAnsi="Google Sans"/>
          <w:color w:val="1f1f1f"/>
          <w:rtl w:val="0"/>
        </w:rPr>
        <w:t xml:space="preserve">—fetching the chronological release history of each candidate package via the official npm (https://registry.npmjs.org/) and PyPI JSON APIs (while respecting rate limits and 429 exponential backoff) to compute the behavioral delta introduced by a new update—enables unified detection of both newly registered typosquatting/slopsquatting packages and hijacked maintainer updates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Stratification Across Evasion Taxonomies and DevSecOps Cooldown Policies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Whereas conference papers typically report a single global F1 score, a Q1 journal article must disaggregate recall and false-positive rates across fine-grained attack vectors and evasion complexity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expanded evaluation should cross-tabulate performance across the 11 malicious behavior categories and 8 evasion techniques, explicitly testing resilience against .sh script externalization, dynamic eval reconstruction, and cross-package deserialization sinks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the journal manuscript should contextualize detection latency within modern DevSecOps governance frameworks—specifically modeling how the detector interacts with </w:t>
      </w:r>
      <w:r w:rsidDel="00000000" w:rsidR="00000000" w:rsidRPr="00000000">
        <w:rPr>
          <w:rFonts w:ascii="Google Sans" w:cs="Google Sans" w:eastAsia="Google Sans" w:hAnsi="Google Sans"/>
          <w:b w:val="1"/>
          <w:bCs w:val="1"/>
          <w:color w:val="1f1f1f"/>
          <w:rtl w:val="0"/>
        </w:rPr>
        <w:t xml:space="preserve">3-to-7 day dependency cooldown policies</w:t>
      </w:r>
      <w:r w:rsidDel="00000000" w:rsidR="00000000" w:rsidRPr="00000000">
        <w:rPr>
          <w:rFonts w:ascii="Google Sans" w:cs="Google Sans" w:eastAsia="Google Sans" w:hAnsi="Google Sans"/>
          <w:color w:val="1f1f1f"/>
          <w:rtl w:val="0"/>
        </w:rPr>
        <w:t xml:space="preserve">, lockfile integrity pinning, default lifecycle script suppression (npm ci --ignore-scripts or pnpm v10+ onlyBuiltDependencies), and OIDC trusted publishing provenance (SLSA and Sigstore)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Showing how automated registry screening closes the exposure window during a 3-to-7 day release cooldown bridges pure security detection with practical software engineering management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Controlling for the LLM Temporal Paradox and Human Explanation Validation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Large Language Models are incorporated either as an architectural detection component or as an automated research instrument for qualitative coding and taxonomy labeling, Q1 reviewers enforce two specialized validity checks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First, the evaluation must test for the </w:t>
      </w:r>
      <w:r w:rsidDel="00000000" w:rsidR="00000000" w:rsidRPr="00000000">
        <w:rPr>
          <w:rFonts w:ascii="Google Sans" w:cs="Google Sans" w:eastAsia="Google Sans" w:hAnsi="Google Sans"/>
          <w:i w:val="1"/>
          <w:iCs w:val="1"/>
          <w:color w:val="1f1f1f"/>
          <w:rtl w:val="0"/>
        </w:rPr>
        <w:t xml:space="preserve">Temporal Paradox in Software Vulnerability Prioritization</w:t>
      </w:r>
      <w:r w:rsidDel="00000000" w:rsidR="00000000" w:rsidRPr="00000000">
        <w:rPr>
          <w:rFonts w:ascii="Google Sans" w:cs="Google Sans" w:eastAsia="Google Sans" w:hAnsi="Google Sans"/>
          <w:color w:val="1f1f1f"/>
          <w:rtl w:val="0"/>
        </w:rPr>
        <w:t xml:space="preserve"> by splitting the benchmark into pre-cutoff and post-cutoff cohorts relative to the LLM's training knowledge cutoff date, proving that detection accuracy stems from genuine code analysis rather than memorized public security advisories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Second, if the framework generates natural-language explanations or malicious behavior descriptions for security analysts, those outputs must be audited via structured human validation with reported inter-rater agreement metrics to mitigate hallucination and transparency threats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LLM Session Management Architecture and Sequential Task Prompts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execute a deterministic, from-scratch verification of npm-supply-chain-research-master.zip on the local machine and establish a persistent feedback loop toward Q1 publication, the local LLM must be configured to log every inspection, code diff, and metric audit into a sequential Markdown folder hierarchy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Under this architecture, the local LLM creates a root research_sessions/ directory, initializes a session sub-folder (research_sessions/active_verification_track/), writes each completed task to a sequentially numbered Markdown file (01_...md, 02_...md, 03_...md), and appends a summary row to a master ledger (research_sessions/SESSION_INDEX.md).</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3 outlines the sequential task pipeline designed for the local LLM, specifying the target session file, primary verification objective, and expected handoff output for each stage of the audit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Task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Sequential Session Markdown File Path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Verification Objective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Expected Handoff Output for Strategic Redirection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research_sessions/SESSION_INDEX.md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 persistent session directory structure, sequential file naming rules, and six-part report schema.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Confirmation of directory creation and ledger initialization.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Task 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research_sessions/active_verification_track/01_workspace_extraction_and_manifest_audit.md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Unpack NPM_Supply_Chain_IEEE_Anonymous_Source.zip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inventory all .tex, .bib, and code files; extract title, abstract, RQs, and verbatim result tables.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manuscript text, architecture summary, baseline tables, and 2023–2026 citation counts.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Task 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research_sessions/active_verification_track/02_novelty_and_dataset_hygiene_verification.md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 dataset and scripts for 0.0.1-security placeholders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multi-version train/test leakage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benign control popularity bias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and the 22% non-JS attack surface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count of placeholder stubs, duplicate versions, split-leakage instances, and missing SOTA baselines.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Task 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research_sessions/active_verification_track/03_q1_statistical_and_ablation_gap_analysis.md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 evaluation scripts for raw prediction persistence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non-parametric effect sizes and confidence intervals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temporal drift splits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module ablation, and runtime latency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Gap matrix detailing missing statistical tests, ablation runs, overhead benchmarks, and Threats to Validity coverage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System Directive for the Local LLM (Copy-Paste Initialization Prompt)</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researcher initializes the local LLM workflow by pasting the following Master System Directive into the local LLM interface:</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DIRECTIVE: PERSISTENT RESEARCH AUDITOR AND SESSION LOGGER</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Role: Operate as an automated Local Research Auditor and Software Engineering Execution Agent inside the npm-supply-chain-research-master workspace. Every assigned task must be executed deterministically against the local filesystem, verified through shell or Python inspection, and saved as a sequential Markdown report inside a structured session folder.</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Directory and File Persistence Protocol: First, ensure a directory named research_sessions/ exists in the root of npm-supply-chain-research-master/, and create the active session subfolder research_sessions/active_verification_track/. Second, save every completed task report as a standalone Markdown file inside research_sessions/active_verification_track/ using a two-digit sequential prefix (01_workspace_extraction_and_manifest_audit.md, 02_novelty_and_dataset_hygiene_verification.md, 03_q1_statistical_and_ablation_gap_analysis.md, and subsequent numbered files). Third, after writing any sequential report file, append a summary entry to research_sessions/SESSION_INDEX.md formatted as a Markdown table row containing the Task ID, Timestamp, File Path, Key Quantitative Finding, and Status. Fourth, ensure research_sessions/ is listed in .gitignore so that audit logs do not contaminate anonymous artifact packaging.</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Six-Section Schema for Every Saved Markdown Report: Every Markdown file saved to the session folder and printed in the chat output must contain six exact sections: Section 1 (## 1. Execution Metadata) recording timestamp, working directory, inspected files, and exact shell or Python commands executed; Section 2 (## 2. Quantitative and Structural Findings) presenting exact metrics, file trees, LaTeX section inventories, dataset row counts, and Markdown tables converted directly from the workspace without estimation; Section 3 (## 3. Code and Manuscript Diffs Performed) documenting modified file paths and unified diff blocks whenever code or LaTeX edits are executed; Section 4 (## 4. Anomaly and Vulnerability Flags) highlighting broken scripts, data leakage risks, 0.0.1-security placeholders, missing baselines, or compilation warnings; Section 5 (## 5. Ledger Confirmation) confirming the update to research_sessions/SESSION_INDEX.md; and Section 6 (## 6. Handoff Payload for Principal Research Advisor) providing a dense summary block ready to be pasted back into the main research orchestration thread.</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01 Prompt for the Local LLM: Workspace Extraction and Manifest Audit</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initialization, the researcher dispatches Task 01 to the local LLM to unpack the nested IEEE anonymous source archive and extract the complete manuscript and codebase manifest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EXECUTE TASK 01: WORKSPACE EXTRACTION AND MANUSCRIPT MANIFEST AUDIT</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Output File: research_sessions/active_verification_track/01_workspace_extraction_and_manifest_audit.md Ledger Update: research_sessions/SESSION_INDEX.md</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Execution Instructions: Inspect the root directory npm-supply-chain-research-master/ and locate NPM_Supply_Chain_IEEE_Anonymous_Source.zip alongside any existing subdirectories. Decompress NPM_Supply_Chain_IEEE_Anonymous_Source.zip into npm-supply-chain-research-master/extracted_manuscript_source/ while preserving all file permissions and timestamps. Generate a complete file inventory table of the workspace listing relative paths, file sizes in bytes, and line counts for all .tex, .bib, .py, .js, .sh, .json, .csv, and .md files.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 parse all .tex source files in extracted_manuscript_source/ and extract verbatim the Manuscript Title, the complete Abstract, the stated Research Questions, and the stated Contributions from the Introduction. Compile a structural table of all Section and Subsection headings along with their word counts and page allocations. Locate every LaTeX table (\begin{table}...\end{table}) in the manuscript and convert each table into a complete Markdown table preserving all exact experimental metrics, dataset counts, and baseline comparisons. Summarize the exact mathematical formulation, feature extraction pipeline, static/dynamic/graph/LLM modules, or dependency graph algorithms implemented in the manuscript and companion code. Finally, parse the .bib bibliography file to report total reference count, publication year distribution for 2022, 2023, 2024, 2025, and 2026, and citation counts across IEEE S&amp;P, USENIX Security, ACM CCS, NDSS, ICSE, FSE, ASE, IEEE TSE, ACM TOSEM, EMSE, and IEEE TDSC. Write the full report to research_sessions/active_verification_track/01_workspace_extraction_and_manifest_audit.md, update research_sessions/SESSION_INDEX.md, and print the complete Markdown report in the chat output.</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02 Prompt for the Local LLM: Novelty Positioning and Dataset Hygiene Verification</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Task 01 is logged, the researcher dispatches Task 02 to audit the local dataset, data-loading scripts, and LaTeX claims against the ground-truth pitfalls identified in recent Q1 benchmarks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EXECUTE TASK 02: NOVELTY POSITIONING AND DATASET HYGIENE VERIFICATION</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Output File: research_sessions/active_verification_track/02_novelty_and_dataset_hygiene_verification.md Ledger Update: research_sessions/SESSION_INDEX.md</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Execution Instructions: Locate all dataset manifests, CSV/JSON/Parquet data files, tarball directories, and data-preprocessing scripts in the workspace (or extract the exact dataset construction rules from the .tex files if raw data resides outside the archive). Execute an automated verification check across four Q1 dataset hygiene dimensions. First, scan all package version identifiers and tarballs for 0.0.1-security takedown placeholders or empty stub archives and report the exact count and percentage of affected malicious samples. Second, compute the ratio of total package versions to unique package names (name versus name@version) and inspect the train/validation/test splitting code to verify whether splits are grouped strictly by unique package name or whether random version-level splitting permits versions of the same package to leak across training and testing sets. Third, audit the benign control set construction to determine whether benign packages were selected via download-popularity stratification and verified against OSV/Snyk or sampled randomly, and test whether basic metadata attributes (such as package.json byte length or file count) exhibit spurious correlation with the class label. Fourth, audit the code and methodology for coverage of the 22% non-JS attack surface—specifically checking whether package.json preinstall/postinstall hooks and .sh scripts are parsed into bash ASTs, whether obfuscated or dynamically evaluated strings (eval, Function) are resolved, and whether vulnerability propagation claims check function-level call-graph reachability rather than package-level dependency presence alone.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Additionally, cross-check the manuscript's related work and experimental baseline sections against key 2020–2026 tools and datasets, reporting whether BKC, MalOSS, AMALFI, GuardDog, OSSGadget, DONAPI, Cerebro, Maltracker, SocketAI, and the 2025 Unified Benchmark are cited or compared. Save the complete findings in research_sessions/active_verification_track/02_novelty_and_dataset_hygiene_verification.md, update research_sessions/SESSION_INDEX.md, and output the full Markdown report.</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03 Prompt for the Local LLM: Q1 Statistical Rigor, Ablation, and Overhead Audit</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Task 02, the researcher dispatches Task 03 to evaluate the experimental scripts and result sections against ACM SIGSOFT Empirical Standards and Q1 journal review criteria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EXECUTE TASK 03: Q1 STATISTICAL RIGOR, ABLATION, AND OVERHEAD GAP ANALYSIS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Output File: research_sessions/active_verification_track/03_q1_statistical_and_ablation_gap_analysis.md Ledger Update: research_sessions/SESSION_INDEX.md</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Execution Instructions: Inspect all evaluation scripts, statistical analysis notebooks, and experimental result sections in the workspace to verify compliance with Q1 empirical engineering standards. First, check whether evaluation scripts persist raw per-package predictions and confidence scores to disk for offline reanalysis, or whether they only print aggregated summary metrics. Second, check all comparative claims in the .tex tables and text to determine whether parametric or non-parametric statistical significance tests (such as Wilcoxon signed-rank, Mann-Whitney U, or McNemar's test) are reported with explicit validation of distributional assumptions, alongside non-parametric effect sizes (such as Cliff's delta or odds ratios) and 95% confidence intervals. Third, verify whether the evaluation includes a strict chronological split (training on historical 2020–2023 packages and testing on 2024–2025 packages, or pre- versus post-LLM cutoff evaluation) to quantify concept convergence and temporal degradation.</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 examine the system architecture for component-level ablation tables, verifying whether each feature group or analytical module is evaluated in isolation and in combination to prove that F1 improvements derive from complementarity minus false-positive introduction. Check whether runtime performance overhead is quantified in milliseconds per package, peak memory footprint, and API token cost, and whether false-positive triage volume is modeled under realistic registry publication rates or 3-to-7 day CI/CD cooldown windows. Finally, audit the manuscript's Limitations or Threats to Validity section against the four standard validity categories (Construct, Internal, External, and Conclusion Validity) and check artifact packaging readiness. Save the complete gap analysis to research_sessions/active_verification_track/03_q1_statistical_and_ablation_gap_analysis.md, update research_sessions/SESSION_INDEX.md, and print the full Markdown report.</w:t>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Iterative Redirection Protocol and Synthesis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verification framework establishes an end-to-end engineering pipeline that bridges the local research workspace with Q1 journal publication standards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Once the researcher pastes the Master System Directive and Task 01 into the local LLM, the local agent will unpack NPM_Supply_Chain_IEEE_Anonymous_Source.zip, record 01_workspace_extraction_and_manifest_audit.md inside research_sessions/active_verification_track/, and generate the structured handoff payload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researcher provides the resulting Markdown reports (01_...md, 02_...md, and 03_...md) along with any code or LaTeX snippets in subsequent turns, the orchestration process will immediately transition to targeted, file-specific execution. In that subsequent phase, the exact LaTeX prose of the Abstract, Introduction, and Research Questions will be rewritten to anchor the paper's novelty claim against capability-intent ambiguity, the 22% non-JS attack surface mismatch, or function-level transitive reachability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Simultaneously, automated Python refactoring scripts will be generated for the local LLM to purge 0.0.1-security placeholders, enforce package-grouped chronological splits, execute missing baseline and ablation runs, compute effect sizes with confidence intervals, and partition the experimental roadmap between an immediate high-impact IEEE conference submission and a comprehensive 35-page Q1 journal extension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npm-supply-chain-research-master.zip</w:t>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hyperlink r:id="rId13">
        <w:r w:rsidDel="00000000" w:rsidR="00000000" w:rsidRPr="00000000">
          <w:rPr>
            <w:rFonts w:ascii="Google Sans" w:cs="Google Sans" w:eastAsia="Google Sans" w:hAnsi="Google Sans"/>
            <w:color w:val="0000ee"/>
            <w:sz w:val="24"/>
            <w:szCs w:val="24"/>
            <w:u w:val="single"/>
            <w:rtl w:val="0"/>
          </w:rPr>
          <w:t xml:space="preserve">unknown_url</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James C. Davis, </w:t>
      </w:r>
      <w:hyperlink r:id="rId14">
        <w:r w:rsidDel="00000000" w:rsidR="00000000" w:rsidRPr="00000000">
          <w:rPr>
            <w:rFonts w:ascii="Google Sans" w:cs="Google Sans" w:eastAsia="Google Sans" w:hAnsi="Google Sans"/>
            <w:color w:val="0000ee"/>
            <w:sz w:val="24"/>
            <w:szCs w:val="24"/>
            <w:u w:val="single"/>
            <w:rtl w:val="0"/>
          </w:rPr>
          <w:t xml:space="preserve">https://davisjam.github.io/files/professional/JamesDavis-CV.pdf</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 Seyit Camtepe - CSIRO people, </w:t>
      </w:r>
      <w:hyperlink r:id="rId15">
        <w:r w:rsidDel="00000000" w:rsidR="00000000" w:rsidRPr="00000000">
          <w:rPr>
            <w:rFonts w:ascii="Google Sans" w:cs="Google Sans" w:eastAsia="Google Sans" w:hAnsi="Google Sans"/>
            <w:color w:val="0000ee"/>
            <w:sz w:val="24"/>
            <w:szCs w:val="24"/>
            <w:u w:val="single"/>
            <w:rtl w:val="0"/>
          </w:rPr>
          <w:t xml:space="preserve">https://people.csiro.au/C/S/seyit-camtepe</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LLM-Based Edge Intelligence: A Comprehensive Survey on, </w:t>
      </w:r>
      <w:hyperlink r:id="rId16">
        <w:r w:rsidDel="00000000" w:rsidR="00000000" w:rsidRPr="00000000">
          <w:rPr>
            <w:rFonts w:ascii="Google Sans" w:cs="Google Sans" w:eastAsia="Google Sans" w:hAnsi="Google Sans"/>
            <w:color w:val="0000ee"/>
            <w:sz w:val="24"/>
            <w:szCs w:val="24"/>
            <w:u w:val="single"/>
            <w:rtl w:val="0"/>
          </w:rPr>
          <w:t xml:space="preserve">https://ieeexplore.ieee.org/iel8/8782661/8901158/10669603.pdf</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Empirical Software Engineering Template 2026 - SciSpace, </w:t>
      </w:r>
      <w:hyperlink r:id="rId17">
        <w:r w:rsidDel="00000000" w:rsidR="00000000" w:rsidRPr="00000000">
          <w:rPr>
            <w:rFonts w:ascii="Google Sans" w:cs="Google Sans" w:eastAsia="Google Sans" w:hAnsi="Google Sans"/>
            <w:color w:val="0000ee"/>
            <w:sz w:val="24"/>
            <w:szCs w:val="24"/>
            <w:u w:val="single"/>
            <w:rtl w:val="0"/>
          </w:rPr>
          <w:t xml:space="preserve">https://scispace.com/templates/empirical-software-engineering-template-kzgxitgu86a7565</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TSE Information for authors - IEEE Xplore, </w:t>
      </w:r>
      <w:hyperlink r:id="rId18">
        <w:r w:rsidDel="00000000" w:rsidR="00000000" w:rsidRPr="00000000">
          <w:rPr>
            <w:rFonts w:ascii="Google Sans" w:cs="Google Sans" w:eastAsia="Google Sans" w:hAnsi="Google Sans"/>
            <w:color w:val="0000ee"/>
            <w:sz w:val="24"/>
            <w:szCs w:val="24"/>
            <w:u w:val="single"/>
            <w:rtl w:val="0"/>
          </w:rPr>
          <w:t xml:space="preserve">http://ieeexplore.ieee.org/iel5/32/35945/01703391.pdf</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LLM-Assisted Empirical Software Engineering: Systematic Literature, </w:t>
      </w:r>
      <w:hyperlink r:id="rId19">
        <w:r w:rsidDel="00000000" w:rsidR="00000000" w:rsidRPr="00000000">
          <w:rPr>
            <w:rFonts w:ascii="Google Sans" w:cs="Google Sans" w:eastAsia="Google Sans" w:hAnsi="Google Sans"/>
            <w:color w:val="0000ee"/>
            <w:sz w:val="24"/>
            <w:szCs w:val="24"/>
            <w:u w:val="single"/>
            <w:rtl w:val="0"/>
          </w:rPr>
          <w:t xml:space="preserve">https://arxiv.org/html/2604.26192v1</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NPM Malicious Package Detection: A Benchmark, </w:t>
      </w:r>
      <w:hyperlink r:id="rId20">
        <w:r w:rsidDel="00000000" w:rsidR="00000000" w:rsidRPr="00000000">
          <w:rPr>
            <w:rFonts w:ascii="Google Sans" w:cs="Google Sans" w:eastAsia="Google Sans" w:hAnsi="Google Sans"/>
            <w:color w:val="0000ee"/>
            <w:sz w:val="24"/>
            <w:szCs w:val="24"/>
            <w:u w:val="single"/>
            <w:rtl w:val="0"/>
          </w:rPr>
          <w:t xml:space="preserve">https://arxiv.org/html/2603.27549v1</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Evidence-Based Software Engineering Guidelines Revisited, </w:t>
      </w:r>
      <w:hyperlink r:id="rId21">
        <w:r w:rsidDel="00000000" w:rsidR="00000000" w:rsidRPr="00000000">
          <w:rPr>
            <w:rFonts w:ascii="Google Sans" w:cs="Google Sans" w:eastAsia="Google Sans" w:hAnsi="Google Sans"/>
            <w:color w:val="0000ee"/>
            <w:sz w:val="24"/>
            <w:szCs w:val="24"/>
            <w:u w:val="single"/>
            <w:rtl w:val="0"/>
          </w:rPr>
          <w:t xml:space="preserve">https://www.computer.org/csdl/journal/ts/2025/03/10834515/23lkgj7oc6c</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Code Analysis via Graph-Guided Large Language Models, </w:t>
      </w:r>
      <w:hyperlink r:id="rId22">
        <w:r w:rsidDel="00000000" w:rsidR="00000000" w:rsidRPr="00000000">
          <w:rPr>
            <w:rFonts w:ascii="Google Sans" w:cs="Google Sans" w:eastAsia="Google Sans" w:hAnsi="Google Sans"/>
            <w:color w:val="0000ee"/>
            <w:sz w:val="24"/>
            <w:szCs w:val="24"/>
            <w:u w:val="single"/>
            <w:rtl w:val="0"/>
          </w:rPr>
          <w:t xml:space="preserve">https://arxiv.org/html/2601.12890v1</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Effective Are NPM Malicious Package Detectors? A Large, </w:t>
      </w:r>
      <w:hyperlink r:id="rId23">
        <w:r w:rsidDel="00000000" w:rsidR="00000000" w:rsidRPr="00000000">
          <w:rPr>
            <w:rFonts w:ascii="Google Sans" w:cs="Google Sans" w:eastAsia="Google Sans" w:hAnsi="Google Sans"/>
            <w:color w:val="0000ee"/>
            <w:sz w:val="24"/>
            <w:szCs w:val="24"/>
            <w:u w:val="single"/>
            <w:rtl w:val="0"/>
          </w:rPr>
          <w:t xml:space="preserve">https://arxiv.org/html/2603.27549</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Donapi: Malicious NPM Packages Detector using Behavior, </w:t>
      </w:r>
      <w:hyperlink r:id="rId24">
        <w:r w:rsidDel="00000000" w:rsidR="00000000" w:rsidRPr="00000000">
          <w:rPr>
            <w:rFonts w:ascii="Google Sans" w:cs="Google Sans" w:eastAsia="Google Sans" w:hAnsi="Google Sans"/>
            <w:color w:val="0000ee"/>
            <w:sz w:val="24"/>
            <w:szCs w:val="24"/>
            <w:u w:val="single"/>
            <w:rtl w:val="0"/>
          </w:rPr>
          <w:t xml:space="preserve">https://www.usenix.org/system/files/usenixsecurity24-huang-cheng.pdf</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PYPILINE: Malicious PyPI Package Detection via Suspicious API, </w:t>
      </w:r>
      <w:hyperlink r:id="rId25">
        <w:r w:rsidDel="00000000" w:rsidR="00000000" w:rsidRPr="00000000">
          <w:rPr>
            <w:rFonts w:ascii="Google Sans" w:cs="Google Sans" w:eastAsia="Google Sans" w:hAnsi="Google Sans"/>
            <w:color w:val="0000ee"/>
            <w:sz w:val="24"/>
            <w:szCs w:val="24"/>
            <w:u w:val="single"/>
            <w:rtl w:val="0"/>
          </w:rPr>
          <w:t xml:space="preserve">https://arxiv.org/html/2606.19063v1</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Defensive Capability Analysis for JavaScript Libraries, </w:t>
      </w:r>
      <w:hyperlink r:id="rId26">
        <w:r w:rsidDel="00000000" w:rsidR="00000000" w:rsidRPr="00000000">
          <w:rPr>
            <w:rFonts w:ascii="Google Sans" w:cs="Google Sans" w:eastAsia="Google Sans" w:hAnsi="Google Sans"/>
            <w:color w:val="0000ee"/>
            <w:sz w:val="24"/>
            <w:szCs w:val="24"/>
            <w:u w:val="single"/>
            <w:rtl w:val="0"/>
          </w:rPr>
          <w:t xml:space="preserve">https://users-cs.au.dk/amoeller/papers/capa/paper.pdf</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Version context and control construction in machine learning,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https://www.researchgate.net/publication/415241205_Version_context_and_control_construction_in_machine_learning_detection_of_malicious_package_updates_across_npm_and_PyPI</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Dependency Management and Cooldown Policies, </w:t>
      </w:r>
      <w:hyperlink r:id="rId28">
        <w:r w:rsidDel="00000000" w:rsidR="00000000" w:rsidRPr="00000000">
          <w:rPr>
            <w:rFonts w:ascii="Google Sans" w:cs="Google Sans" w:eastAsia="Google Sans" w:hAnsi="Google Sans"/>
            <w:color w:val="0000ee"/>
            <w:sz w:val="24"/>
            <w:szCs w:val="24"/>
            <w:u w:val="single"/>
            <w:rtl w:val="0"/>
          </w:rPr>
          <w:t xml:space="preserve">https://owasp.github.io/DevSecOpsGuideline/2-Process/2-3-Build/2-3-2-Software-Composition-Analysis/2-3-2-2-Dependency-Management-and-Cooldown-Policies/</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Supply Chain Security: How to Defend the AI Stack - CloudSEK, </w:t>
      </w:r>
      <w:hyperlink r:id="rId29">
        <w:r w:rsidDel="00000000" w:rsidR="00000000" w:rsidRPr="00000000">
          <w:rPr>
            <w:rFonts w:ascii="Google Sans" w:cs="Google Sans" w:eastAsia="Google Sans" w:hAnsi="Google Sans"/>
            <w:color w:val="0000ee"/>
            <w:sz w:val="24"/>
            <w:szCs w:val="24"/>
            <w:u w:val="single"/>
            <w:rtl w:val="0"/>
          </w:rPr>
          <w:t xml:space="preserve">https://www.cloudsek.com/knowledge-base/ai-supply-chain-security</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Supply Chains Are Dead: Use-Case-Oriented Regeneration, </w:t>
      </w:r>
      <w:hyperlink r:id="rId30">
        <w:r w:rsidDel="00000000" w:rsidR="00000000" w:rsidRPr="00000000">
          <w:rPr>
            <w:rFonts w:ascii="Google Sans" w:cs="Google Sans" w:eastAsia="Google Sans" w:hAnsi="Google Sans"/>
            <w:color w:val="0000ee"/>
            <w:sz w:val="24"/>
            <w:szCs w:val="24"/>
            <w:u w:val="single"/>
            <w:rtl w:val="0"/>
          </w:rPr>
          <w:t xml:space="preserve">https://drops.dagstuhl.de/entities/document/10.4230/LIPIcs.ESEM.2026.64</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Practical Automated Detection of Malicious npm Packages, </w:t>
      </w:r>
      <w:hyperlink r:id="rId31">
        <w:r w:rsidDel="00000000" w:rsidR="00000000" w:rsidRPr="00000000">
          <w:rPr>
            <w:rFonts w:ascii="Google Sans" w:cs="Google Sans" w:eastAsia="Google Sans" w:hAnsi="Google Sans"/>
            <w:color w:val="0000ee"/>
            <w:sz w:val="24"/>
            <w:szCs w:val="24"/>
            <w:u w:val="single"/>
            <w:rtl w:val="0"/>
          </w:rPr>
          <w:t xml:space="preserve">https://www.computer.org/csdl/proceedings-article/icse/2022/922100b681/1EmslWxgQvu</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Code Analysis via Graph Representation ... - OpenReview, </w:t>
      </w:r>
      <w:hyperlink r:id="rId32">
        <w:r w:rsidDel="00000000" w:rsidR="00000000" w:rsidRPr="00000000">
          <w:rPr>
            <w:rFonts w:ascii="Google Sans" w:cs="Google Sans" w:eastAsia="Google Sans" w:hAnsi="Google Sans"/>
            <w:color w:val="0000ee"/>
            <w:sz w:val="24"/>
            <w:szCs w:val="24"/>
            <w:u w:val="single"/>
            <w:rtl w:val="0"/>
          </w:rPr>
          <w:t xml:space="preserve">https://openreview.net/pdf/3bec2b6a1cbfdef0710ff1e6187fd2532aa75747.pdf</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in LLM-as-a-Judge: A Comprehensive SoK - arXiv, </w:t>
      </w:r>
      <w:hyperlink r:id="rId33">
        <w:r w:rsidDel="00000000" w:rsidR="00000000" w:rsidRPr="00000000">
          <w:rPr>
            <w:rFonts w:ascii="Google Sans" w:cs="Google Sans" w:eastAsia="Google Sans" w:hAnsi="Google Sans"/>
            <w:color w:val="0000ee"/>
            <w:sz w:val="24"/>
            <w:szCs w:val="24"/>
            <w:u w:val="single"/>
            <w:rtl w:val="0"/>
          </w:rPr>
          <w:t xml:space="preserve">https://arxiv.org/pdf/2603.29403</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Empirical Standards - ACM SIGSoft, </w:t>
      </w:r>
      <w:hyperlink r:id="rId34">
        <w:r w:rsidDel="00000000" w:rsidR="00000000" w:rsidRPr="00000000">
          <w:rPr>
            <w:rFonts w:ascii="Google Sans" w:cs="Google Sans" w:eastAsia="Google Sans" w:hAnsi="Google Sans"/>
            <w:color w:val="0000ee"/>
            <w:sz w:val="24"/>
            <w:szCs w:val="24"/>
            <w:u w:val="single"/>
            <w:rtl w:val="0"/>
          </w:rPr>
          <w:t xml:space="preserve">https://www2.sigsoft.org/EmpiricalStandards/docs/standards</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ACM SIGSOFT Empirical Standards for Software Engineering, </w:t>
      </w:r>
      <w:hyperlink r:id="rId35">
        <w:r w:rsidDel="00000000" w:rsidR="00000000" w:rsidRPr="00000000">
          <w:rPr>
            <w:rFonts w:ascii="Google Sans" w:cs="Google Sans" w:eastAsia="Google Sans" w:hAnsi="Google Sans"/>
            <w:color w:val="0000ee"/>
            <w:sz w:val="24"/>
            <w:szCs w:val="24"/>
            <w:u w:val="single"/>
            <w:rtl w:val="0"/>
          </w:rPr>
          <w:t xml:space="preserve">https://www2.sigsoft.org/EmpiricalStandards/</w:t>
        </w:r>
      </w:hyperlink>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Metadata Compressibility and Evaluation Bias in Malicious Package, </w:t>
      </w:r>
      <w:hyperlink r:id="rId36">
        <w:r w:rsidDel="00000000" w:rsidR="00000000" w:rsidRPr="00000000">
          <w:rPr>
            <w:rFonts w:ascii="Google Sans" w:cs="Google Sans" w:eastAsia="Google Sans" w:hAnsi="Google Sans"/>
            <w:color w:val="0000ee"/>
            <w:sz w:val="24"/>
            <w:szCs w:val="24"/>
            <w:u w:val="single"/>
            <w:rtl w:val="0"/>
          </w:rPr>
          <w:t xml:space="preserve">https://www.mdpi.com/2624-800x/6/5/160</w:t>
        </w:r>
      </w:hyperlink>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 Ejaz Ahmed - CSIRO people, </w:t>
      </w:r>
      <w:hyperlink r:id="rId37">
        <w:r w:rsidDel="00000000" w:rsidR="00000000" w:rsidRPr="00000000">
          <w:rPr>
            <w:rFonts w:ascii="Google Sans" w:cs="Google Sans" w:eastAsia="Google Sans" w:hAnsi="Google Sans"/>
            <w:color w:val="0000ee"/>
            <w:sz w:val="24"/>
            <w:szCs w:val="24"/>
            <w:u w:val="single"/>
            <w:rtl w:val="0"/>
          </w:rPr>
          <w:t xml:space="preserve">https://people.csiro.au/a/e/ejaz-ahmed</w:t>
        </w:r>
      </w:hyperlink>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SBOMGuard: Supply Chain Attack Detection via Software Bill, </w:t>
      </w:r>
      <w:hyperlink r:id="rId38">
        <w:r w:rsidDel="00000000" w:rsidR="00000000" w:rsidRPr="00000000">
          <w:rPr>
            <w:rFonts w:ascii="Google Sans" w:cs="Google Sans" w:eastAsia="Google Sans" w:hAnsi="Google Sans"/>
            <w:color w:val="0000ee"/>
            <w:sz w:val="24"/>
            <w:szCs w:val="24"/>
            <w:u w:val="single"/>
            <w:rtl w:val="0"/>
          </w:rPr>
          <w:t xml:space="preserve">https://www.researchgate.net/publication/404362580_SBOMGuard_Supply_Chain_Attack_Detection_via_Software_Bill_of_Materials_Analysis_Dependency_Graph_Embedding_and_Commit-Level_NLP_Anomaly_Detection</w:t>
        </w:r>
      </w:hyperlink>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vulnerabilities in software supply chains - Xiang Gao, </w:t>
      </w:r>
      <w:hyperlink r:id="rId39">
        <w:r w:rsidDel="00000000" w:rsidR="00000000" w:rsidRPr="00000000">
          <w:rPr>
            <w:rFonts w:ascii="Google Sans" w:cs="Google Sans" w:eastAsia="Google Sans" w:hAnsi="Google Sans"/>
            <w:color w:val="0000ee"/>
            <w:sz w:val="24"/>
            <w:szCs w:val="24"/>
            <w:u w:val="single"/>
            <w:rtl w:val="0"/>
          </w:rPr>
          <w:t xml:space="preserve">https://gaoxiang9430.github.io/papers/emse.pdf</w:t>
        </w:r>
      </w:hyperlink>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Engineering Research Topics - Smart Academic Writing, </w:t>
      </w:r>
      <w:hyperlink r:id="rId40">
        <w:r w:rsidDel="00000000" w:rsidR="00000000" w:rsidRPr="00000000">
          <w:rPr>
            <w:rFonts w:ascii="Google Sans" w:cs="Google Sans" w:eastAsia="Google Sans" w:hAnsi="Google Sans"/>
            <w:color w:val="0000ee"/>
            <w:sz w:val="24"/>
            <w:szCs w:val="24"/>
            <w:u w:val="single"/>
            <w:rtl w:val="0"/>
          </w:rPr>
          <w:t xml:space="preserve">https://smartacademicwriting.com/software-engineering-research-topics/</w:t>
        </w:r>
      </w:hyperlink>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Scalable and Polyglot Approach to Benchmarking Neural Code, </w:t>
      </w:r>
      <w:hyperlink r:id="rId41">
        <w:r w:rsidDel="00000000" w:rsidR="00000000" w:rsidRPr="00000000">
          <w:rPr>
            <w:rFonts w:ascii="Google Sans" w:cs="Google Sans" w:eastAsia="Google Sans" w:hAnsi="Google Sans"/>
            <w:color w:val="0000ee"/>
            <w:sz w:val="24"/>
            <w:szCs w:val="24"/>
            <w:u w:val="single"/>
            <w:rtl w:val="0"/>
          </w:rPr>
          <w:t xml:space="preserve">https://cms-media.roblox.com/assets/multipl-e-a-scalable-and-polyglot-approach-to-benchmarking-neural-code-generation.pdf</w:t>
        </w:r>
      </w:hyperlink>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detecting-typosquatting-packages-in-npm-pypi · Skills-SI Market, </w:t>
      </w:r>
      <w:hyperlink r:id="rId42">
        <w:r w:rsidDel="00000000" w:rsidR="00000000" w:rsidRPr="00000000">
          <w:rPr>
            <w:rFonts w:ascii="Google Sans" w:cs="Google Sans" w:eastAsia="Google Sans" w:hAnsi="Google Sans"/>
            <w:color w:val="0000ee"/>
            <w:sz w:val="24"/>
            <w:szCs w:val="24"/>
            <w:u w:val="single"/>
            <w:rtl w:val="0"/>
          </w:rPr>
          <w:t xml:space="preserve">https://skills-si.com/de/skills/mukul975-anthropic-cybersecurity-skills-skills-detecting-typosquatting-packages-in-npm-pypi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martacademicwriting.com/software-engineering-research-topics/" TargetMode="External"/><Relationship Id="rId20" Type="http://schemas.openxmlformats.org/officeDocument/2006/relationships/hyperlink" Target="https://arxiv.org/html/2603.27549v1" TargetMode="External"/><Relationship Id="rId42" Type="http://schemas.openxmlformats.org/officeDocument/2006/relationships/hyperlink" Target="https://skills-si.com/de/skills/mukul975-anthropic-cybersecurity-skills-skills-detecting-typosquatting-packages-in-npm-pypi" TargetMode="External"/><Relationship Id="rId41" Type="http://schemas.openxmlformats.org/officeDocument/2006/relationships/hyperlink" Target="https://cms-media.roblox.com/assets/multipl-e-a-scalable-and-polyglot-approach-to-benchmarking-neural-code-generation.pdf" TargetMode="External"/><Relationship Id="rId22" Type="http://schemas.openxmlformats.org/officeDocument/2006/relationships/hyperlink" Target="https://arxiv.org/html/2601.12890v1" TargetMode="External"/><Relationship Id="rId21" Type="http://schemas.openxmlformats.org/officeDocument/2006/relationships/hyperlink" Target="https://www.computer.org/csdl/journal/ts/2025/03/10834515/23lkgj7oc6c" TargetMode="External"/><Relationship Id="rId24" Type="http://schemas.openxmlformats.org/officeDocument/2006/relationships/hyperlink" Target="https://www.usenix.org/system/files/usenixsecurity24-huang-cheng.pdf" TargetMode="External"/><Relationship Id="rId23" Type="http://schemas.openxmlformats.org/officeDocument/2006/relationships/hyperlink" Target="https://arxiv.org/html/2603.2754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users-cs.au.dk/amoeller/papers/capa/paper.pdf" TargetMode="External"/><Relationship Id="rId25" Type="http://schemas.openxmlformats.org/officeDocument/2006/relationships/hyperlink" Target="https://arxiv.org/html/2606.19063v1" TargetMode="External"/><Relationship Id="rId28" Type="http://schemas.openxmlformats.org/officeDocument/2006/relationships/hyperlink" Target="https://owasp.github.io/DevSecOpsGuideline/2-Process/2-3-Build/2-3-2-Software-Composition-Analysis/2-3-2-2-Dependency-Management-and-Cooldown-Policies/" TargetMode="External"/><Relationship Id="rId27" Type="http://schemas.openxmlformats.org/officeDocument/2006/relationships/hyperlink" Target="https://www.researchgate.net/publication/415241205_Version_context_and_control_construction_in_machine_learning_detection_of_malicious_package_updates_across_npm_and_PyPI"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cloudsek.com/knowledge-base/ai-supply-chain-security" TargetMode="External"/><Relationship Id="rId7" Type="http://schemas.openxmlformats.org/officeDocument/2006/relationships/image" Target="media/image3.png"/><Relationship Id="rId8" Type="http://schemas.openxmlformats.org/officeDocument/2006/relationships/image" Target="media/image6.png"/><Relationship Id="rId31" Type="http://schemas.openxmlformats.org/officeDocument/2006/relationships/hyperlink" Target="https://www.computer.org/csdl/proceedings-article/icse/2022/922100b681/1EmslWxgQvu" TargetMode="External"/><Relationship Id="rId30" Type="http://schemas.openxmlformats.org/officeDocument/2006/relationships/hyperlink" Target="https://drops.dagstuhl.de/entities/document/10.4230/LIPIcs.ESEM.2026.64" TargetMode="External"/><Relationship Id="rId11" Type="http://schemas.openxmlformats.org/officeDocument/2006/relationships/image" Target="media/image1.png"/><Relationship Id="rId33" Type="http://schemas.openxmlformats.org/officeDocument/2006/relationships/hyperlink" Target="https://arxiv.org/pdf/2603.29403" TargetMode="External"/><Relationship Id="rId10" Type="http://schemas.openxmlformats.org/officeDocument/2006/relationships/image" Target="media/image4.png"/><Relationship Id="rId32" Type="http://schemas.openxmlformats.org/officeDocument/2006/relationships/hyperlink" Target="https://openreview.net/pdf/3bec2b6a1cbfdef0710ff1e6187fd2532aa75747.pdf" TargetMode="External"/><Relationship Id="rId13" Type="http://schemas.openxmlformats.org/officeDocument/2006/relationships/hyperlink" Target="http://docs.google.com/unknown_url" TargetMode="External"/><Relationship Id="rId35" Type="http://schemas.openxmlformats.org/officeDocument/2006/relationships/hyperlink" Target="https://www2.sigsoft.org/EmpiricalStandards/" TargetMode="External"/><Relationship Id="rId12" Type="http://schemas.openxmlformats.org/officeDocument/2006/relationships/image" Target="media/image5.png"/><Relationship Id="rId34" Type="http://schemas.openxmlformats.org/officeDocument/2006/relationships/hyperlink" Target="https://www2.sigsoft.org/EmpiricalStandards/docs/standards" TargetMode="External"/><Relationship Id="rId15" Type="http://schemas.openxmlformats.org/officeDocument/2006/relationships/hyperlink" Target="https://people.csiro.au/C/S/seyit-camtepe" TargetMode="External"/><Relationship Id="rId37" Type="http://schemas.openxmlformats.org/officeDocument/2006/relationships/hyperlink" Target="https://people.csiro.au/a/e/ejaz-ahmed" TargetMode="External"/><Relationship Id="rId14" Type="http://schemas.openxmlformats.org/officeDocument/2006/relationships/hyperlink" Target="https://davisjam.github.io/files/professional/JamesDavis-CV.pdf" TargetMode="External"/><Relationship Id="rId36" Type="http://schemas.openxmlformats.org/officeDocument/2006/relationships/hyperlink" Target="https://www.mdpi.com/2624-800x/6/5/160" TargetMode="External"/><Relationship Id="rId17" Type="http://schemas.openxmlformats.org/officeDocument/2006/relationships/hyperlink" Target="https://scispace.com/templates/empirical-software-engineering-template-kzgxitgu86a7565" TargetMode="External"/><Relationship Id="rId39" Type="http://schemas.openxmlformats.org/officeDocument/2006/relationships/hyperlink" Target="https://gaoxiang9430.github.io/papers/emse.pdf" TargetMode="External"/><Relationship Id="rId16" Type="http://schemas.openxmlformats.org/officeDocument/2006/relationships/hyperlink" Target="https://ieeexplore.ieee.org/iel8/8782661/8901158/10669603.pdf" TargetMode="External"/><Relationship Id="rId38" Type="http://schemas.openxmlformats.org/officeDocument/2006/relationships/hyperlink" Target="https://www.researchgate.net/publication/404362580_SBOMGuard_Supply_Chain_Attack_Detection_via_Software_Bill_of_Materials_Analysis_Dependency_Graph_Embedding_and_Commit-Level_NLP_Anomaly_Detection" TargetMode="External"/><Relationship Id="rId19" Type="http://schemas.openxmlformats.org/officeDocument/2006/relationships/hyperlink" Target="https://arxiv.org/html/2604.26192v1" TargetMode="External"/><Relationship Id="rId18" Type="http://schemas.openxmlformats.org/officeDocument/2006/relationships/hyperlink" Target="http://ieeexplore.ieee.org/iel5/32/35945/01703391.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