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7AD1E" w14:textId="45489975" w:rsidR="005475D1" w:rsidRDefault="007C4CFF" w:rsidP="005475D1">
      <w:pPr>
        <w:spacing w:after="200"/>
        <w:jc w:val="center"/>
        <w:rPr>
          <w:sz w:val="44"/>
          <w:szCs w:val="44"/>
        </w:rPr>
      </w:pPr>
      <w:proofErr w:type="spellStart"/>
      <w:r w:rsidRPr="007C4CFF">
        <w:rPr>
          <w:sz w:val="44"/>
          <w:szCs w:val="44"/>
        </w:rPr>
        <w:t>HazBot</w:t>
      </w:r>
      <w:proofErr w:type="spellEnd"/>
      <w:r w:rsidRPr="007C4CFF">
        <w:rPr>
          <w:sz w:val="44"/>
          <w:szCs w:val="44"/>
        </w:rPr>
        <w:t xml:space="preserve">: Architecture and Coordination Verification of </w:t>
      </w:r>
      <w:r w:rsidR="005475D1" w:rsidRPr="005475D1">
        <w:rPr>
          <w:sz w:val="44"/>
          <w:szCs w:val="44"/>
        </w:rPr>
        <w:t>A Raspberry Pi-Based</w:t>
      </w:r>
      <w:r w:rsidR="005475D1" w:rsidRPr="005475D1">
        <w:rPr>
          <w:sz w:val="44"/>
          <w:szCs w:val="44"/>
        </w:rPr>
        <w:t xml:space="preserve"> </w:t>
      </w:r>
      <w:r w:rsidRPr="007C4CFF">
        <w:rPr>
          <w:sz w:val="44"/>
          <w:szCs w:val="44"/>
        </w:rPr>
        <w:t>Mobile Manipulator for Hazardous-Object Retrieval</w:t>
      </w:r>
      <w:bookmarkStart w:id="0" w:name="_GoBack"/>
      <w:bookmarkEnd w:id="0"/>
    </w:p>
    <w:p w14:paraId="6201BC77" w14:textId="33F09D84" w:rsidR="00886181" w:rsidRDefault="007C4CFF">
      <w:pPr>
        <w:spacing w:after="200"/>
        <w:jc w:val="center"/>
      </w:pPr>
      <w:r w:rsidRPr="007C4CFF">
        <w:rPr>
          <w:sz w:val="44"/>
          <w:szCs w:val="44"/>
        </w:rPr>
        <w:t xml:space="preserve"> </w:t>
      </w:r>
      <w:r w:rsidR="005475D1">
        <w:rPr>
          <w:sz w:val="22"/>
          <w:szCs w:val="22"/>
        </w:rPr>
        <w:t>Anonymous Authors</w:t>
      </w:r>
    </w:p>
    <w:p w14:paraId="77A812F8" w14:textId="7E776FB5" w:rsidR="00886181" w:rsidRDefault="005475D1">
      <w:pPr>
        <w:spacing w:after="100"/>
        <w:ind w:left="360" w:right="360"/>
        <w:jc w:val="both"/>
      </w:pPr>
      <w:r>
        <w:rPr>
          <w:b/>
          <w:bCs/>
          <w:i/>
          <w:iCs/>
          <w:sz w:val="18"/>
          <w:szCs w:val="18"/>
        </w:rPr>
        <w:t>Abstract—</w:t>
      </w:r>
      <w:r>
        <w:rPr>
          <w:b/>
          <w:bCs/>
          <w:sz w:val="18"/>
          <w:szCs w:val="18"/>
        </w:rPr>
        <w:t>Retrieving an object from a potentially hazardous area requires coordinated perception, mobility</w:t>
      </w:r>
      <w:r>
        <w:rPr>
          <w:b/>
          <w:bCs/>
          <w:sz w:val="18"/>
          <w:szCs w:val="18"/>
        </w:rPr>
        <w:t xml:space="preserve"> and manipulation. We present </w:t>
      </w:r>
      <w:proofErr w:type="spellStart"/>
      <w:r>
        <w:rPr>
          <w:b/>
          <w:bCs/>
          <w:sz w:val="18"/>
          <w:szCs w:val="18"/>
        </w:rPr>
        <w:t>HazBot</w:t>
      </w:r>
      <w:proofErr w:type="spellEnd"/>
      <w:r>
        <w:rPr>
          <w:b/>
          <w:bCs/>
          <w:sz w:val="18"/>
          <w:szCs w:val="18"/>
        </w:rPr>
        <w:t>, a modular mobile-manipulation architecture centered on a Raspberry Pi</w:t>
      </w:r>
      <w:r>
        <w:rPr>
          <w:b/>
          <w:bCs/>
          <w:sz w:val="18"/>
          <w:szCs w:val="18"/>
        </w:rPr>
        <w:t xml:space="preserve"> with hazardous-object retrieval as its application</w:t>
      </w:r>
      <w:r>
        <w:rPr>
          <w:b/>
          <w:bCs/>
          <w:sz w:val="18"/>
          <w:szCs w:val="18"/>
        </w:rPr>
        <w:t xml:space="preserve"> objective. Four subsystems provide LiDAR navigation, differential wheel drive, camera-based onboard inference</w:t>
      </w:r>
      <w:r w:rsidR="008C47E4">
        <w:rPr>
          <w:b/>
          <w:bCs/>
          <w:sz w:val="18"/>
          <w:szCs w:val="18"/>
        </w:rPr>
        <w:t xml:space="preserve"> </w:t>
      </w:r>
      <w:r>
        <w:rPr>
          <w:b/>
          <w:bCs/>
          <w:sz w:val="18"/>
          <w:szCs w:val="18"/>
        </w:rPr>
        <w:t>and an articulated gripper. The camera connects directly to the Pi</w:t>
      </w:r>
      <w:r w:rsidR="008C47E4">
        <w:rPr>
          <w:b/>
          <w:bCs/>
          <w:sz w:val="18"/>
          <w:szCs w:val="18"/>
        </w:rPr>
        <w:t xml:space="preserve"> and</w:t>
      </w:r>
      <w:r>
        <w:rPr>
          <w:b/>
          <w:bCs/>
          <w:sz w:val="18"/>
          <w:szCs w:val="18"/>
        </w:rPr>
        <w:t xml:space="preserve"> dedicated Arduino controllers serve the wheels and arm, while the LiDAR reta</w:t>
      </w:r>
      <w:r>
        <w:rPr>
          <w:b/>
          <w:bCs/>
          <w:sz w:val="18"/>
          <w:szCs w:val="18"/>
        </w:rPr>
        <w:t>ins its sensor-specific controller. We formalize a seven-phase retrieval mission and the evidence required at each subsystem handoff. A ball-based nonhazardous surrogate motivates the task</w:t>
      </w:r>
      <w:r w:rsidR="008C47E4">
        <w:rPr>
          <w:b/>
          <w:bCs/>
          <w:sz w:val="18"/>
          <w:szCs w:val="18"/>
        </w:rPr>
        <w:t>. The</w:t>
      </w:r>
      <w:r>
        <w:rPr>
          <w:b/>
          <w:bCs/>
          <w:sz w:val="18"/>
          <w:szCs w:val="18"/>
        </w:rPr>
        <w:t xml:space="preserve"> evaluation uses an executable discrete coordination model, source-</w:t>
      </w:r>
      <w:r>
        <w:rPr>
          <w:b/>
          <w:bCs/>
          <w:sz w:val="18"/>
          <w:szCs w:val="18"/>
        </w:rPr>
        <w:t>isolated command analysis</w:t>
      </w:r>
      <w:r w:rsidR="008C47E4">
        <w:rPr>
          <w:b/>
          <w:bCs/>
          <w:sz w:val="18"/>
          <w:szCs w:val="18"/>
        </w:rPr>
        <w:t xml:space="preserve"> </w:t>
      </w:r>
      <w:r>
        <w:rPr>
          <w:b/>
          <w:bCs/>
          <w:sz w:val="18"/>
          <w:szCs w:val="18"/>
        </w:rPr>
        <w:t xml:space="preserve">and URDF-derived geometry. </w:t>
      </w:r>
      <w:r w:rsidR="004168E4" w:rsidRPr="004168E4">
        <w:rPr>
          <w:b/>
          <w:bCs/>
          <w:sz w:val="18"/>
          <w:szCs w:val="18"/>
        </w:rPr>
        <w:t>A full analysis of 261,121 wheel-command pairs shows direction-only magnitude reduction and 1,020 mixed-zero inputs that don't send any new commands.</w:t>
      </w:r>
      <w:r w:rsidR="004168E4">
        <w:rPr>
          <w:b/>
          <w:bCs/>
          <w:sz w:val="18"/>
          <w:szCs w:val="18"/>
        </w:rPr>
        <w:t xml:space="preserve"> </w:t>
      </w:r>
      <w:r w:rsidR="004168E4" w:rsidRPr="004168E4">
        <w:rPr>
          <w:b/>
          <w:bCs/>
          <w:sz w:val="18"/>
          <w:szCs w:val="18"/>
        </w:rPr>
        <w:t>We got a shoulder-to-wrist bound of 0.200 m from the URDF link lengths, and the modeled geometric envelope is made up of 68,921 joint samples.</w:t>
      </w:r>
      <w:r>
        <w:rPr>
          <w:b/>
          <w:bCs/>
          <w:sz w:val="18"/>
          <w:szCs w:val="18"/>
        </w:rPr>
        <w:t xml:space="preserve"> The full reference coordinator admits no command-contract violations across 28,672 phase–observation pairs. These results connect the mission design to concrete inte</w:t>
      </w:r>
      <w:r>
        <w:rPr>
          <w:b/>
          <w:bCs/>
          <w:sz w:val="18"/>
          <w:szCs w:val="18"/>
        </w:rPr>
        <w:t>rface and reachability constraints. The contribution is a reproducible architecture and coordination study that supports task-specific recognition and subsequent application validation.</w:t>
      </w:r>
    </w:p>
    <w:p w14:paraId="05ECA9F6" w14:textId="77777777" w:rsidR="00886181" w:rsidRDefault="005475D1">
      <w:pPr>
        <w:spacing w:after="160"/>
        <w:ind w:left="360" w:right="360"/>
        <w:jc w:val="both"/>
      </w:pPr>
      <w:r>
        <w:rPr>
          <w:b/>
          <w:bCs/>
          <w:i/>
          <w:iCs/>
          <w:sz w:val="18"/>
          <w:szCs w:val="18"/>
        </w:rPr>
        <w:t>Index Terms—</w:t>
      </w:r>
      <w:r>
        <w:rPr>
          <w:b/>
          <w:bCs/>
          <w:sz w:val="18"/>
          <w:szCs w:val="18"/>
        </w:rPr>
        <w:t>Mobile manipulation, Raspberry Pi, hazardous-object retrie</w:t>
      </w:r>
      <w:r>
        <w:rPr>
          <w:b/>
          <w:bCs/>
          <w:sz w:val="18"/>
          <w:szCs w:val="18"/>
        </w:rPr>
        <w:t>val, embedded vision, subsystem coordination, model-based verification.</w:t>
      </w:r>
    </w:p>
    <w:p w14:paraId="6340EB34" w14:textId="77777777" w:rsidR="00886181" w:rsidRDefault="00886181">
      <w:pPr>
        <w:sectPr w:rsidR="00886181">
          <w:pgSz w:w="11906" w:h="16838"/>
          <w:pgMar w:top="1100" w:right="1000" w:bottom="1100" w:left="1000" w:header="708" w:footer="708" w:gutter="0"/>
          <w:cols w:space="720"/>
          <w:docGrid w:linePitch="360"/>
        </w:sectPr>
      </w:pPr>
    </w:p>
    <w:p w14:paraId="4C8C0381" w14:textId="77777777" w:rsidR="00886181" w:rsidRDefault="005475D1">
      <w:pPr>
        <w:keepNext/>
        <w:spacing w:before="200" w:after="80"/>
        <w:jc w:val="center"/>
      </w:pPr>
      <w:r>
        <w:rPr>
          <w:smallCaps/>
        </w:rPr>
        <w:t>I. Introduction</w:t>
      </w:r>
    </w:p>
    <w:p w14:paraId="326F4EFF" w14:textId="0089CE98" w:rsidR="00886181" w:rsidRDefault="005475D1">
      <w:pPr>
        <w:spacing w:after="60"/>
        <w:ind w:firstLine="200"/>
        <w:jc w:val="both"/>
      </w:pPr>
      <w:r>
        <w:t>Moving a suspect object away from people combines several robotics problems</w:t>
      </w:r>
      <w:r w:rsidR="004168E4">
        <w:t>, such as</w:t>
      </w:r>
      <w:r>
        <w:t xml:space="preserve"> locating a candidate, navigating toward it, positioning a gripper, tran</w:t>
      </w:r>
      <w:r>
        <w:t>sporting the object</w:t>
      </w:r>
      <w:r>
        <w:t xml:space="preserve"> and confirming its release. Each component can function in isolation while the complete task remains unreliable. A valid detection may arrive after its target has moved; a motion command may lose its intended magnitude at a serial gate</w:t>
      </w:r>
      <w:r>
        <w:t>way</w:t>
      </w:r>
      <w:r w:rsidR="004168E4">
        <w:t xml:space="preserve"> and</w:t>
      </w:r>
      <w:r>
        <w:t xml:space="preserve"> an object may lie outside the arm’s contact workspace even when the base has reached its navigation goal. The central engineering problem is therefore the relationship between subsystem evidence and permission to act.</w:t>
      </w:r>
    </w:p>
    <w:p w14:paraId="73364C06" w14:textId="05662E9F" w:rsidR="00886181" w:rsidRDefault="005475D1">
      <w:pPr>
        <w:spacing w:after="60"/>
        <w:ind w:firstLine="200"/>
        <w:jc w:val="both"/>
      </w:pPr>
      <w:r>
        <w:t>Mobile robots have been developed</w:t>
      </w:r>
      <w:r>
        <w:t xml:space="preserve"> for nuclear environments [1]</w:t>
      </w:r>
      <w:r w:rsidR="004168E4">
        <w:t xml:space="preserve"> </w:t>
      </w:r>
      <w:r>
        <w:t xml:space="preserve">and compact mobile manipulators demonstrate the value of integrating mobility and reach [2]. </w:t>
      </w:r>
      <w:proofErr w:type="spellStart"/>
      <w:r>
        <w:t>HazBot</w:t>
      </w:r>
      <w:proofErr w:type="spellEnd"/>
      <w:r>
        <w:t xml:space="preserve"> </w:t>
      </w:r>
      <w:r w:rsidR="00BB7ABC">
        <w:t>focuses on</w:t>
      </w:r>
      <w:r>
        <w:t xml:space="preserve"> an accessible embedded implementation of this integration. Its central Raspberry Pi connects four functional subsys</w:t>
      </w:r>
      <w:r>
        <w:t>tems: navigation, wheel control, visual inference</w:t>
      </w:r>
      <w:r>
        <w:t xml:space="preserve"> and robotic manipulation. </w:t>
      </w:r>
      <w:r w:rsidR="00BB7ABC" w:rsidRPr="00BB7ABC">
        <w:t>Local perception keeps image interpretation on the robot, whereas dedicated embedded controllers keep sensor acquisition and actuator signaling apart from mission-level decisions</w:t>
      </w:r>
      <w:r>
        <w:t>.</w:t>
      </w:r>
    </w:p>
    <w:p w14:paraId="050F75A6" w14:textId="7412BD24" w:rsidR="00886181" w:rsidRDefault="005475D1">
      <w:pPr>
        <w:spacing w:after="60"/>
        <w:ind w:firstLine="200"/>
        <w:jc w:val="both"/>
      </w:pPr>
      <w:r>
        <w:t xml:space="preserve">We </w:t>
      </w:r>
      <w:r>
        <w:t>frame the application as retrieval of designated objects from a potentially hazardous area. A task specification determines which objects may be handled and where they should be deposited. Visual recognition proposes a candidate</w:t>
      </w:r>
      <w:r w:rsidR="00BB7ABC">
        <w:t xml:space="preserve"> while</w:t>
      </w:r>
      <w:r>
        <w:t xml:space="preserve"> authorization determines w</w:t>
      </w:r>
      <w:r>
        <w:t>hether handling is permitted. This distinction accommodates task-specific detectors without treating appearance as evidence of chemical, radiological</w:t>
      </w:r>
      <w:r>
        <w:t xml:space="preserve"> or biological properties. Ball-based simulated control provides a nonhazardous task surrogate for the pre</w:t>
      </w:r>
      <w:r>
        <w:t>sent study.</w:t>
      </w:r>
    </w:p>
    <w:p w14:paraId="3D211156" w14:textId="269F21E8" w:rsidR="00886181" w:rsidRDefault="005475D1">
      <w:pPr>
        <w:spacing w:after="60"/>
        <w:ind w:firstLine="200"/>
        <w:jc w:val="both"/>
      </w:pPr>
      <w:r>
        <w:t>The paper makes three contributions. First, it specifies a Pi-centered four-subsystem architecture with explicit physical interfaces and separate drive, arm</w:t>
      </w:r>
      <w:r>
        <w:t xml:space="preserve"> and ranging controller paths. Second, it defines a seven-phase reference </w:t>
      </w:r>
      <w:r>
        <w:t>coordinator w</w:t>
      </w:r>
      <w:r>
        <w:t>ith observable prerequisites for mobility–manipulation handoffs. Third, it provides reproducible model and source analyses that connect these prerequisites to wrist geometry and actual command semantics. The evaluation establishes properties of the discret</w:t>
      </w:r>
      <w:r>
        <w:t>e coordinator and source models</w:t>
      </w:r>
      <w:r w:rsidR="00811E34">
        <w:t xml:space="preserve"> which</w:t>
      </w:r>
      <w:r>
        <w:t xml:space="preserve"> provid</w:t>
      </w:r>
      <w:r w:rsidR="00811E34">
        <w:t>es</w:t>
      </w:r>
      <w:r>
        <w:t xml:space="preserve"> a traceable basis for subsequent physical retrieval experiments.</w:t>
      </w:r>
    </w:p>
    <w:p w14:paraId="38A2D447" w14:textId="77777777" w:rsidR="00886181" w:rsidRDefault="005475D1">
      <w:pPr>
        <w:keepNext/>
        <w:spacing w:before="200" w:after="80"/>
        <w:jc w:val="center"/>
      </w:pPr>
      <w:r>
        <w:rPr>
          <w:smallCaps/>
        </w:rPr>
        <w:t>II. Related Work</w:t>
      </w:r>
    </w:p>
    <w:p w14:paraId="59B67EEF" w14:textId="77777777" w:rsidR="00886181" w:rsidRDefault="005475D1">
      <w:pPr>
        <w:keepNext/>
        <w:spacing w:before="100" w:after="60"/>
      </w:pPr>
      <w:r>
        <w:rPr>
          <w:i/>
          <w:iCs/>
        </w:rPr>
        <w:t>A. Application and Mobile Manipulation</w:t>
      </w:r>
    </w:p>
    <w:p w14:paraId="49307A2E" w14:textId="2E9AC08B" w:rsidR="00886181" w:rsidRDefault="005475D1">
      <w:pPr>
        <w:spacing w:after="60"/>
        <w:ind w:firstLine="200"/>
        <w:jc w:val="both"/>
      </w:pPr>
      <w:r>
        <w:t>Vega provides a relevant hazardous-environment precedent: Bird et al. describe a small groun</w:t>
      </w:r>
      <w:r>
        <w:t>d robot for nuclear decommissioning</w:t>
      </w:r>
      <w:r>
        <w:t xml:space="preserve"> with engineering directed toward its operating environment [1]. Its application illustrates the importance of environment-specific qualification. Stretch combines a differential mobile base and compact manipulator, supp</w:t>
      </w:r>
      <w:r>
        <w:t xml:space="preserve">orted by design analysis and physical task demonstrations [2]. </w:t>
      </w:r>
      <w:proofErr w:type="spellStart"/>
      <w:r>
        <w:t>HomeRobot</w:t>
      </w:r>
      <w:proofErr w:type="spellEnd"/>
      <w:r>
        <w:t xml:space="preserve"> treats navigation, recognition, grasping</w:t>
      </w:r>
      <w:r>
        <w:t xml:space="preserve"> and placement as a connected mobile-manipulation problem</w:t>
      </w:r>
      <w:r>
        <w:t xml:space="preserve"> with distinct simulation and real-world evaluation components [3]. These studies mo</w:t>
      </w:r>
      <w:r>
        <w:t xml:space="preserve">tivate </w:t>
      </w:r>
      <w:proofErr w:type="spellStart"/>
      <w:r>
        <w:t>HazBot’s</w:t>
      </w:r>
      <w:proofErr w:type="spellEnd"/>
      <w:r>
        <w:t xml:space="preserve"> complete retrieval sequence and the coordination of its sensing and actuation modules.</w:t>
      </w:r>
    </w:p>
    <w:p w14:paraId="63CC0B01" w14:textId="77777777" w:rsidR="00886181" w:rsidRDefault="005475D1">
      <w:pPr>
        <w:keepNext/>
        <w:spacing w:before="100" w:after="60"/>
      </w:pPr>
      <w:r>
        <w:rPr>
          <w:i/>
          <w:iCs/>
        </w:rPr>
        <w:t>B. Embedded Integration and Coordination</w:t>
      </w:r>
    </w:p>
    <w:p w14:paraId="25CF0C77" w14:textId="77777777" w:rsidR="00886181" w:rsidRDefault="005475D1">
      <w:pPr>
        <w:spacing w:after="60"/>
        <w:ind w:firstLine="200"/>
        <w:jc w:val="both"/>
      </w:pPr>
      <w:r>
        <w:t>ROS 2 provides a common communication and software framework for distributed robotic components [4]. Nav2 [5] an</w:t>
      </w:r>
      <w:r>
        <w:t>d SLAM Toolbox [6] provide established navigation and mapping capabilities. These components supply reusable interfaces for integrating onboard observations and motion requests. Edge-device detector evaluations further motivate explicit characterization of</w:t>
      </w:r>
      <w:r>
        <w:t xml:space="preserve"> model and device choices [7], including the configuration used for local inference.</w:t>
      </w:r>
    </w:p>
    <w:p w14:paraId="131E08AD" w14:textId="3EDBE6E5" w:rsidR="00886181" w:rsidRDefault="005475D1">
      <w:pPr>
        <w:spacing w:after="60"/>
        <w:ind w:firstLine="200"/>
        <w:jc w:val="both"/>
      </w:pPr>
      <w:r>
        <w:t xml:space="preserve">Command arbitration and sensor-dependent stopping are established in systems such as </w:t>
      </w:r>
      <w:proofErr w:type="spellStart"/>
      <w:r>
        <w:t>twist_mux</w:t>
      </w:r>
      <w:proofErr w:type="spellEnd"/>
      <w:r>
        <w:t xml:space="preserve"> and Nav2 Collision Monitor [8], [9]. </w:t>
      </w:r>
      <w:proofErr w:type="spellStart"/>
      <w:r>
        <w:t>HazBot</w:t>
      </w:r>
      <w:proofErr w:type="spellEnd"/>
      <w:r>
        <w:t xml:space="preserve"> focuses on the connection betwee</w:t>
      </w:r>
      <w:r>
        <w:t>n a four-subsystem embedded design, retrieval-phase prerequisites</w:t>
      </w:r>
      <w:r>
        <w:t xml:space="preserve"> and reproducible characterization of the particular geometry and gateways </w:t>
      </w:r>
      <w:r>
        <w:lastRenderedPageBreak/>
        <w:t>that implement those interfaces. The reference coordinator makes this integration inspectable before a physical mis</w:t>
      </w:r>
      <w:r>
        <w:t>sion benchmark is attempted.</w:t>
      </w:r>
    </w:p>
    <w:p w14:paraId="023F875A" w14:textId="77777777" w:rsidR="00886181" w:rsidRDefault="00886181">
      <w:pPr>
        <w:sectPr w:rsidR="00886181">
          <w:type w:val="continuous"/>
          <w:pgSz w:w="11906" w:h="16838"/>
          <w:pgMar w:top="1100" w:right="1000" w:bottom="1100" w:left="1000" w:header="708" w:footer="708" w:gutter="0"/>
          <w:cols w:num="2" w:space="400"/>
          <w:docGrid w:linePitch="360"/>
        </w:sectPr>
      </w:pPr>
    </w:p>
    <w:p w14:paraId="5A384B81" w14:textId="77777777" w:rsidR="00886181" w:rsidRDefault="005475D1">
      <w:pPr>
        <w:keepNext/>
        <w:spacing w:before="80" w:after="40"/>
        <w:jc w:val="center"/>
      </w:pPr>
      <w:r>
        <w:rPr>
          <w:noProof/>
        </w:rPr>
        <w:drawing>
          <wp:inline distT="0" distB="0" distL="0" distR="0" wp14:anchorId="30597A89" wp14:editId="73BEA3A5">
            <wp:extent cx="6286500" cy="3619500"/>
            <wp:effectExtent l="0" t="0" r="0" b="0"/>
            <wp:docPr id="1" name="Fig. 1" descr="Block diagram of the four HazBot subsystems around a Raspberry Pi: vision, ranging/navigation, wheel drive, arm/gripper."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3619500"/>
                    </a:xfrm>
                    <a:prstGeom prst="rect">
                      <a:avLst/>
                    </a:prstGeom>
                  </pic:spPr>
                </pic:pic>
              </a:graphicData>
            </a:graphic>
          </wp:inline>
        </w:drawing>
      </w:r>
    </w:p>
    <w:p w14:paraId="3CB57C77" w14:textId="35BDA537" w:rsidR="00886181" w:rsidRDefault="005475D1">
      <w:pPr>
        <w:spacing w:after="120"/>
        <w:jc w:val="both"/>
      </w:pPr>
      <w:r>
        <w:rPr>
          <w:sz w:val="16"/>
          <w:szCs w:val="16"/>
        </w:rPr>
        <w:t xml:space="preserve">Fig. 1. </w:t>
      </w:r>
      <w:proofErr w:type="spellStart"/>
      <w:r>
        <w:rPr>
          <w:sz w:val="16"/>
          <w:szCs w:val="16"/>
        </w:rPr>
        <w:t>HazBot’s</w:t>
      </w:r>
      <w:proofErr w:type="spellEnd"/>
      <w:r>
        <w:rPr>
          <w:sz w:val="16"/>
          <w:szCs w:val="16"/>
        </w:rPr>
        <w:t xml:space="preserve"> four-subsystem architecture. The Raspberry Pi performs onboard computation and interfaces with a direct CSI camera, a LiDAR sensor controller, a dedicated drive Arduino, and a separa</w:t>
      </w:r>
      <w:r>
        <w:rPr>
          <w:sz w:val="16"/>
          <w:szCs w:val="16"/>
        </w:rPr>
        <w:t>te arm Arduino. Solid paths identify physical interfaces</w:t>
      </w:r>
      <w:r w:rsidR="009908AB">
        <w:rPr>
          <w:sz w:val="16"/>
          <w:szCs w:val="16"/>
        </w:rPr>
        <w:t xml:space="preserve"> and</w:t>
      </w:r>
      <w:r>
        <w:rPr>
          <w:sz w:val="16"/>
          <w:szCs w:val="16"/>
        </w:rPr>
        <w:t xml:space="preserve"> dashed paths show software data flow. Glyphs identify functional hardware rather than a scale assembly. The complete mission coordinator is evaluated as a reference model.</w:t>
      </w:r>
    </w:p>
    <w:p w14:paraId="1974C197" w14:textId="77777777" w:rsidR="00886181" w:rsidRDefault="00886181">
      <w:pPr>
        <w:sectPr w:rsidR="00886181">
          <w:type w:val="continuous"/>
          <w:pgSz w:w="11906" w:h="16838"/>
          <w:pgMar w:top="1100" w:right="1000" w:bottom="1100" w:left="1000" w:header="708" w:footer="708" w:gutter="0"/>
          <w:cols w:space="720"/>
          <w:docGrid w:linePitch="360"/>
        </w:sectPr>
      </w:pPr>
    </w:p>
    <w:p w14:paraId="2F3387F6" w14:textId="77777777" w:rsidR="00886181" w:rsidRDefault="005475D1">
      <w:pPr>
        <w:keepNext/>
        <w:spacing w:before="200" w:after="80"/>
        <w:jc w:val="center"/>
      </w:pPr>
      <w:r>
        <w:rPr>
          <w:smallCaps/>
        </w:rPr>
        <w:t>III. System Architecture</w:t>
      </w:r>
    </w:p>
    <w:p w14:paraId="66F3B47E" w14:textId="77777777" w:rsidR="00886181" w:rsidRDefault="005475D1">
      <w:pPr>
        <w:keepNext/>
        <w:spacing w:before="100" w:after="60"/>
      </w:pPr>
      <w:r>
        <w:rPr>
          <w:i/>
          <w:iCs/>
        </w:rPr>
        <w:t>A. Central Computer and Physical Interfaces</w:t>
      </w:r>
    </w:p>
    <w:p w14:paraId="2E603498" w14:textId="42CBEBF8" w:rsidR="00886181" w:rsidRDefault="005475D1">
      <w:pPr>
        <w:spacing w:after="60"/>
        <w:ind w:firstLine="200"/>
        <w:jc w:val="both"/>
      </w:pPr>
      <w:r>
        <w:t>Figure 1 places the Raspberry Pi at the computational center. It receives images and range observations, hosts native visual inference</w:t>
      </w:r>
      <w:r>
        <w:t xml:space="preserve"> and exchanges commands with the low-level actuator </w:t>
      </w:r>
      <w:r>
        <w:t>controllers. A workstation may support visualization or development</w:t>
      </w:r>
      <w:r>
        <w:t xml:space="preserve"> but </w:t>
      </w:r>
      <w:r w:rsidR="006D5619">
        <w:t>it’s</w:t>
      </w:r>
      <w:r>
        <w:t xml:space="preserve"> not required to host the native detector. The source configuration analyzed here specifies a Pi Camera V2, YDLIDAR X4 ranging path, differential drive with an L298N bridge, and a s</w:t>
      </w:r>
      <w:r>
        <w:t>ervo arm. Table I distinguishes physical connections from logical responsibilities. The physical prototype views in Figs. 2 and 3 identify the components and laptop visualization; its local display is mounted on the Pi through GPIO, and the camera connects</w:t>
      </w:r>
      <w:r>
        <w:t xml:space="preserve"> by a white CSI ribbon. Figure 4 records the corresponding monitoring and command surfaces without treating a static screenshot as a live-system measurement.</w:t>
      </w:r>
    </w:p>
    <w:p w14:paraId="3BCE777F" w14:textId="77777777" w:rsidR="00886181" w:rsidRDefault="005475D1">
      <w:pPr>
        <w:keepNext/>
        <w:spacing w:before="100"/>
        <w:jc w:val="center"/>
      </w:pPr>
      <w:r>
        <w:rPr>
          <w:smallCaps/>
          <w:sz w:val="16"/>
          <w:szCs w:val="16"/>
        </w:rPr>
        <w:t>TABLE I</w:t>
      </w:r>
    </w:p>
    <w:p w14:paraId="7ACB1987" w14:textId="77777777" w:rsidR="00886181" w:rsidRDefault="005475D1">
      <w:pPr>
        <w:keepNext/>
        <w:spacing w:after="60"/>
        <w:jc w:val="center"/>
      </w:pPr>
      <w:r>
        <w:rPr>
          <w:smallCaps/>
          <w:sz w:val="16"/>
          <w:szCs w:val="16"/>
        </w:rPr>
        <w:t>Four Subsystems and Their Pi Interfaces</w:t>
      </w:r>
    </w:p>
    <w:tbl>
      <w:tblPr>
        <w:tblW w:w="4753"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50"/>
        <w:gridCol w:w="3603"/>
      </w:tblGrid>
      <w:tr w:rsidR="00886181" w14:paraId="6D1FB327" w14:textId="77777777">
        <w:tblPrEx>
          <w:tblCellMar>
            <w:top w:w="0" w:type="dxa"/>
            <w:bottom w:w="0" w:type="dxa"/>
          </w:tblCellMar>
        </w:tblPrEx>
        <w:trPr>
          <w:tblHeader/>
        </w:trPr>
        <w:tc>
          <w:tcPr>
            <w:tcW w:w="11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5C9F3A71" w14:textId="77777777" w:rsidR="00886181" w:rsidRDefault="005475D1">
            <w:r>
              <w:rPr>
                <w:sz w:val="16"/>
                <w:szCs w:val="16"/>
              </w:rPr>
              <w:t>Subsystem</w:t>
            </w:r>
          </w:p>
        </w:tc>
        <w:tc>
          <w:tcPr>
            <w:tcW w:w="3603"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6391D831" w14:textId="77777777" w:rsidR="00886181" w:rsidRDefault="005475D1">
            <w:r>
              <w:rPr>
                <w:sz w:val="16"/>
                <w:szCs w:val="16"/>
              </w:rPr>
              <w:t>Connection and responsibility</w:t>
            </w:r>
          </w:p>
        </w:tc>
      </w:tr>
      <w:tr w:rsidR="00886181" w14:paraId="595E5580" w14:textId="77777777">
        <w:tblPrEx>
          <w:tblCellMar>
            <w:top w:w="0" w:type="dxa"/>
            <w:bottom w:w="0" w:type="dxa"/>
          </w:tblCellMar>
        </w:tblPrEx>
        <w:tc>
          <w:tcPr>
            <w:tcW w:w="11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428D9D3" w14:textId="77777777" w:rsidR="00886181" w:rsidRDefault="005475D1">
            <w:r>
              <w:rPr>
                <w:sz w:val="16"/>
                <w:szCs w:val="16"/>
              </w:rPr>
              <w:t>Vision / ML</w:t>
            </w:r>
          </w:p>
        </w:tc>
        <w:tc>
          <w:tcPr>
            <w:tcW w:w="360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E395AD4" w14:textId="77777777" w:rsidR="00886181" w:rsidRDefault="005475D1">
            <w:r>
              <w:rPr>
                <w:sz w:val="16"/>
                <w:szCs w:val="16"/>
              </w:rPr>
              <w:t xml:space="preserve">CSI camera directly to Pi; local </w:t>
            </w:r>
            <w:proofErr w:type="spellStart"/>
            <w:r>
              <w:rPr>
                <w:sz w:val="16"/>
                <w:szCs w:val="16"/>
              </w:rPr>
              <w:t>TFLite</w:t>
            </w:r>
            <w:proofErr w:type="spellEnd"/>
            <w:r>
              <w:rPr>
                <w:sz w:val="16"/>
                <w:szCs w:val="16"/>
              </w:rPr>
              <w:t xml:space="preserve"> inference.</w:t>
            </w:r>
          </w:p>
        </w:tc>
      </w:tr>
      <w:tr w:rsidR="00886181" w14:paraId="792C5472" w14:textId="77777777">
        <w:tblPrEx>
          <w:tblCellMar>
            <w:top w:w="0" w:type="dxa"/>
            <w:bottom w:w="0" w:type="dxa"/>
          </w:tblCellMar>
        </w:tblPrEx>
        <w:tc>
          <w:tcPr>
            <w:tcW w:w="11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302EB37" w14:textId="77777777" w:rsidR="00886181" w:rsidRDefault="005475D1">
            <w:r>
              <w:rPr>
                <w:sz w:val="16"/>
                <w:szCs w:val="16"/>
              </w:rPr>
              <w:t>Navigation</w:t>
            </w:r>
          </w:p>
        </w:tc>
        <w:tc>
          <w:tcPr>
            <w:tcW w:w="360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2065D0B" w14:textId="77777777" w:rsidR="00886181" w:rsidRDefault="005475D1">
            <w:r>
              <w:rPr>
                <w:sz w:val="16"/>
                <w:szCs w:val="16"/>
              </w:rPr>
              <w:t>LiDAR sensor controller and USB–UART path; ranging data consumed on Pi.</w:t>
            </w:r>
          </w:p>
        </w:tc>
      </w:tr>
      <w:tr w:rsidR="00886181" w14:paraId="39181ADD" w14:textId="77777777">
        <w:tblPrEx>
          <w:tblCellMar>
            <w:top w:w="0" w:type="dxa"/>
            <w:bottom w:w="0" w:type="dxa"/>
          </w:tblCellMar>
        </w:tblPrEx>
        <w:tc>
          <w:tcPr>
            <w:tcW w:w="11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4B09785" w14:textId="77777777" w:rsidR="00886181" w:rsidRDefault="005475D1">
            <w:r>
              <w:rPr>
                <w:sz w:val="16"/>
                <w:szCs w:val="16"/>
              </w:rPr>
              <w:t>Wheel drive</w:t>
            </w:r>
          </w:p>
        </w:tc>
        <w:tc>
          <w:tcPr>
            <w:tcW w:w="360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5B197C3" w14:textId="77777777" w:rsidR="00886181" w:rsidRDefault="005475D1">
            <w:r>
              <w:rPr>
                <w:sz w:val="16"/>
                <w:szCs w:val="16"/>
              </w:rPr>
              <w:t>USB serial, 9600 baud, to drive Arduino; PWM/direction through L298N.</w:t>
            </w:r>
          </w:p>
        </w:tc>
      </w:tr>
      <w:tr w:rsidR="00886181" w14:paraId="550C8E32" w14:textId="77777777">
        <w:tblPrEx>
          <w:tblCellMar>
            <w:top w:w="0" w:type="dxa"/>
            <w:bottom w:w="0" w:type="dxa"/>
          </w:tblCellMar>
        </w:tblPrEx>
        <w:tc>
          <w:tcPr>
            <w:tcW w:w="11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CCB500C" w14:textId="77777777" w:rsidR="00886181" w:rsidRDefault="005475D1">
            <w:r>
              <w:rPr>
                <w:sz w:val="16"/>
                <w:szCs w:val="16"/>
              </w:rPr>
              <w:t>Manipulator</w:t>
            </w:r>
          </w:p>
        </w:tc>
        <w:tc>
          <w:tcPr>
            <w:tcW w:w="360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ECACC4D" w14:textId="77777777" w:rsidR="00886181" w:rsidRDefault="005475D1">
            <w:r>
              <w:rPr>
                <w:sz w:val="16"/>
                <w:szCs w:val="16"/>
              </w:rPr>
              <w:t>Separate USB serial, 115200 baud, to arm Arduino; four servo channels.</w:t>
            </w:r>
          </w:p>
        </w:tc>
      </w:tr>
    </w:tbl>
    <w:p w14:paraId="5DB80767" w14:textId="77777777" w:rsidR="00886181" w:rsidRDefault="00886181">
      <w:pPr>
        <w:spacing w:after="60"/>
      </w:pPr>
    </w:p>
    <w:p w14:paraId="7800E231" w14:textId="77777777" w:rsidR="00886181" w:rsidRDefault="005475D1">
      <w:pPr>
        <w:keepNext/>
        <w:spacing w:before="100" w:after="60"/>
      </w:pPr>
      <w:r>
        <w:rPr>
          <w:i/>
          <w:iCs/>
        </w:rPr>
        <w:t>B. Navigation and Wheel Control</w:t>
      </w:r>
    </w:p>
    <w:p w14:paraId="54F26198" w14:textId="4FB2B337" w:rsidR="00886181" w:rsidRDefault="005475D1">
      <w:pPr>
        <w:spacing w:after="60"/>
        <w:ind w:firstLine="200"/>
        <w:jc w:val="both"/>
      </w:pPr>
      <w:r>
        <w:t>The scanner’s built-in controller acquires range samples; its USB in</w:t>
      </w:r>
      <w:r>
        <w:t>terface carries scan packets to the Pi. Navigation logic therefore remains on the central computer rather than on the scanner controller. Range observations support route-clearance decisions and target-distance association. Mapping and navigation component</w:t>
      </w:r>
      <w:r>
        <w:t>s can be connected through ROS 2</w:t>
      </w:r>
      <w:r>
        <w:t xml:space="preserve"> but the present evaluation measures neither map quality nor localization error.</w:t>
      </w:r>
    </w:p>
    <w:p w14:paraId="7196DE5B" w14:textId="77777777" w:rsidR="00886181" w:rsidRDefault="005475D1">
      <w:pPr>
        <w:spacing w:after="60"/>
        <w:ind w:firstLine="200"/>
        <w:jc w:val="both"/>
      </w:pPr>
      <w:r>
        <w:t xml:space="preserve">The wheel Arduino drives the motor bridge independently of the arm controller. For an ideal differential base, wheel radius </w:t>
      </w:r>
      <w:r>
        <w:rPr>
          <w:i/>
          <w:iCs/>
        </w:rPr>
        <w:t>R</w:t>
      </w:r>
      <w:r>
        <w:t xml:space="preserve"> and track </w:t>
      </w:r>
      <w:r>
        <w:rPr>
          <w:i/>
          <w:iCs/>
        </w:rPr>
        <w:t>b</w:t>
      </w:r>
      <w:r>
        <w:t xml:space="preserve"> rela</w:t>
      </w:r>
      <w:r>
        <w:t>te desired body velocity (</w:t>
      </w:r>
      <w:r>
        <w:rPr>
          <w:i/>
          <w:iCs/>
        </w:rPr>
        <w:t>v</w:t>
      </w:r>
      <w:r>
        <w:t xml:space="preserve">, </w:t>
      </w:r>
      <w:r>
        <w:rPr>
          <w:i/>
          <w:iCs/>
        </w:rPr>
        <w:t>ω</w:t>
      </w:r>
      <w:r>
        <w:t>) to wheel angular rates:</w:t>
      </w:r>
    </w:p>
    <w:p w14:paraId="43DD369B" w14:textId="77777777" w:rsidR="00886181" w:rsidRDefault="005475D1">
      <w:pPr>
        <w:tabs>
          <w:tab w:val="center" w:pos="2376"/>
          <w:tab w:val="right" w:pos="4753"/>
        </w:tabs>
        <w:spacing w:before="60" w:after="60"/>
      </w:pPr>
      <w:r>
        <w:tab/>
      </w:r>
      <m:oMath>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 xml:space="preserve"> = </m:t>
        </m:r>
        <m:f>
          <m:fPr>
            <m:ctrlPr>
              <w:rPr>
                <w:rFonts w:ascii="Cambria Math" w:hAnsi="Cambria Math"/>
              </w:rPr>
            </m:ctrlPr>
          </m:fPr>
          <m:num>
            <m:r>
              <w:rPr>
                <w:rFonts w:ascii="Cambria Math" w:hAnsi="Cambria Math"/>
              </w:rPr>
              <m:t>v</m:t>
            </m:r>
            <m:r>
              <w:rPr>
                <w:rFonts w:ascii="Cambria Math" w:hAnsi="Cambria Math"/>
              </w:rPr>
              <m:t xml:space="preserve"> - </m:t>
            </m:r>
            <m:r>
              <w:rPr>
                <w:rFonts w:ascii="Cambria Math" w:hAnsi="Cambria Math"/>
              </w:rPr>
              <m:t>bω</m:t>
            </m:r>
            <m:r>
              <w:rPr>
                <w:rFonts w:ascii="Cambria Math" w:hAnsi="Cambria Math"/>
              </w:rPr>
              <m:t>/2</m:t>
            </m:r>
          </m:num>
          <m:den>
            <m:r>
              <w:rPr>
                <w:rFonts w:ascii="Cambria Math" w:hAnsi="Cambria Math"/>
              </w:rPr>
              <m:t>R</m:t>
            </m:r>
          </m:den>
        </m:f>
        <m:r>
          <w:rPr>
            <w:rFonts w:ascii="Cambria Math" w:hAnsi="Cambria Math"/>
          </w:rPr>
          <m:t xml:space="preserve">,     </m:t>
        </m:r>
        <m:sSub>
          <m:sSubPr>
            <m:ctrlPr>
              <w:rPr>
                <w:rFonts w:ascii="Cambria Math" w:hAnsi="Cambria Math"/>
              </w:rPr>
            </m:ctrlPr>
          </m:sSubPr>
          <m:e>
            <m:r>
              <w:rPr>
                <w:rFonts w:ascii="Cambria Math" w:hAnsi="Cambria Math"/>
              </w:rPr>
              <m:t>ϕ̇</m:t>
            </m:r>
          </m:e>
          <m:sub>
            <m:r>
              <w:rPr>
                <w:rFonts w:ascii="Cambria Math" w:hAnsi="Cambria Math"/>
              </w:rPr>
              <m:t>R</m:t>
            </m:r>
          </m:sub>
        </m:sSub>
        <m:r>
          <w:rPr>
            <w:rFonts w:ascii="Cambria Math" w:hAnsi="Cambria Math"/>
          </w:rPr>
          <m:t xml:space="preserve"> = </m:t>
        </m:r>
        <m:f>
          <m:fPr>
            <m:ctrlPr>
              <w:rPr>
                <w:rFonts w:ascii="Cambria Math" w:hAnsi="Cambria Math"/>
              </w:rPr>
            </m:ctrlPr>
          </m:fPr>
          <m:num>
            <m:r>
              <w:rPr>
                <w:rFonts w:ascii="Cambria Math" w:hAnsi="Cambria Math"/>
              </w:rPr>
              <m:t>v</m:t>
            </m:r>
            <m:r>
              <w:rPr>
                <w:rFonts w:ascii="Cambria Math" w:hAnsi="Cambria Math"/>
              </w:rPr>
              <m:t xml:space="preserve"> + </m:t>
            </m:r>
            <m:r>
              <w:rPr>
                <w:rFonts w:ascii="Cambria Math" w:hAnsi="Cambria Math"/>
              </w:rPr>
              <m:t>bω</m:t>
            </m:r>
            <m:r>
              <w:rPr>
                <w:rFonts w:ascii="Cambria Math" w:hAnsi="Cambria Math"/>
              </w:rPr>
              <m:t>/2</m:t>
            </m:r>
          </m:num>
          <m:den>
            <m:r>
              <w:rPr>
                <w:rFonts w:ascii="Cambria Math" w:hAnsi="Cambria Math"/>
              </w:rPr>
              <m:t>R</m:t>
            </m:r>
          </m:den>
        </m:f>
        <m:r>
          <w:rPr>
            <w:rFonts w:ascii="Cambria Math" w:hAnsi="Cambria Math"/>
          </w:rPr>
          <m:t>.</m:t>
        </m:r>
      </m:oMath>
      <w:r>
        <w:tab/>
        <w:t>(1)</w:t>
      </w:r>
    </w:p>
    <w:p w14:paraId="1884A15E" w14:textId="44C2C289" w:rsidR="00886181" w:rsidRDefault="005475D1">
      <w:pPr>
        <w:spacing w:after="60"/>
        <w:jc w:val="both"/>
      </w:pPr>
      <w:r>
        <w:t xml:space="preserve">The geometric model uses </w:t>
      </w:r>
      <w:r>
        <w:rPr>
          <w:i/>
          <w:iCs/>
        </w:rPr>
        <w:t>R</w:t>
      </w:r>
      <w:r>
        <w:t xml:space="preserve"> = 0.033 m and </w:t>
      </w:r>
      <w:r>
        <w:rPr>
          <w:i/>
          <w:iCs/>
        </w:rPr>
        <w:t>b</w:t>
      </w:r>
      <w:r>
        <w:t xml:space="preserve"> = 0.210 m. Equation 1 describes the intended kinematic relationship</w:t>
      </w:r>
      <w:r w:rsidR="00F42B93">
        <w:t xml:space="preserve"> and to achieve it,</w:t>
      </w:r>
      <w:r>
        <w:t xml:space="preserve"> a gateway must preserve appropriate command meaning to realize it. Our characterization explicitly tests this condition instead of assuming that a pair of numeric inputs produces calibra</w:t>
      </w:r>
      <w:r>
        <w:t>ted wheel velocities.</w:t>
      </w:r>
    </w:p>
    <w:p w14:paraId="332F4A72" w14:textId="77777777" w:rsidR="00886181" w:rsidRDefault="005475D1">
      <w:pPr>
        <w:keepNext/>
        <w:spacing w:before="80" w:after="40"/>
        <w:jc w:val="center"/>
      </w:pPr>
      <w:r>
        <w:rPr>
          <w:noProof/>
        </w:rPr>
        <w:lastRenderedPageBreak/>
        <w:drawing>
          <wp:inline distT="0" distB="0" distL="0" distR="0" wp14:anchorId="7398F4E3" wp14:editId="4DF7A3B9">
            <wp:extent cx="2857500" cy="3695700"/>
            <wp:effectExtent l="0" t="0" r="0" b="0"/>
            <wp:docPr id="2" name="Fig. 2" descr="Annotated top view photograph of the HazBot prototype with ten numbered component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3695700"/>
                    </a:xfrm>
                    <a:prstGeom prst="rect">
                      <a:avLst/>
                    </a:prstGeom>
                  </pic:spPr>
                </pic:pic>
              </a:graphicData>
            </a:graphic>
          </wp:inline>
        </w:drawing>
      </w:r>
    </w:p>
    <w:p w14:paraId="3847D334" w14:textId="77777777" w:rsidR="00886181" w:rsidRDefault="005475D1">
      <w:pPr>
        <w:spacing w:after="120"/>
        <w:jc w:val="both"/>
      </w:pPr>
      <w:r>
        <w:rPr>
          <w:sz w:val="16"/>
          <w:szCs w:val="16"/>
        </w:rPr>
        <w:t xml:space="preserve">Fig. 2. Physical </w:t>
      </w:r>
      <w:proofErr w:type="spellStart"/>
      <w:r>
        <w:rPr>
          <w:sz w:val="16"/>
          <w:szCs w:val="16"/>
        </w:rPr>
        <w:t>HazBot</w:t>
      </w:r>
      <w:proofErr w:type="spellEnd"/>
      <w:r>
        <w:rPr>
          <w:sz w:val="16"/>
          <w:szCs w:val="16"/>
        </w:rPr>
        <w:t xml:space="preserve"> prototype. Markers identify: 1, ball surrogate; 2, gripper; 3, servo; 4, arm linkage; 5, Raspberry Pi with GPIO-mounted display; 6, LiDAR; 7, drive wheel; 8, battery cells; 9, control electronics; 10, camera </w:t>
      </w:r>
      <w:r>
        <w:rPr>
          <w:sz w:val="16"/>
          <w:szCs w:val="16"/>
        </w:rPr>
        <w:t>at the end of the white CSI ribbon.</w:t>
      </w:r>
    </w:p>
    <w:p w14:paraId="367E38EC" w14:textId="77777777" w:rsidR="00886181" w:rsidRDefault="005475D1">
      <w:pPr>
        <w:keepNext/>
        <w:spacing w:before="100" w:after="60"/>
      </w:pPr>
      <w:r>
        <w:rPr>
          <w:i/>
          <w:iCs/>
        </w:rPr>
        <w:t>C. Vision and Native Inference</w:t>
      </w:r>
    </w:p>
    <w:p w14:paraId="235A9711" w14:textId="4C780C07" w:rsidR="00886181" w:rsidRDefault="005475D1">
      <w:pPr>
        <w:spacing w:after="60"/>
        <w:ind w:firstLine="200"/>
        <w:jc w:val="both"/>
      </w:pPr>
      <w:r>
        <w:t xml:space="preserve">The camera acquires RGB images through the Pi’s CSI interface. The native path configures a 640×480 image stream and a two-thread </w:t>
      </w:r>
      <w:proofErr w:type="spellStart"/>
      <w:r>
        <w:t>TFLite</w:t>
      </w:r>
      <w:proofErr w:type="spellEnd"/>
      <w:r>
        <w:t xml:space="preserve"> interpreter for an INT8 detector. Its current label </w:t>
      </w:r>
      <w:r>
        <w:t>set contains tennis and cricket balls, providing task surrogates. The architecture permits replacing the model and label set</w:t>
      </w:r>
      <w:r>
        <w:t xml:space="preserve"> but any extension to designated hazardous objects requires a corresponding dataset and evaluation. Model weights are not part of t</w:t>
      </w:r>
      <w:r>
        <w:t>he analyzed artifacts, so detector accuracy and execution time are outside the reported results.</w:t>
      </w:r>
    </w:p>
    <w:p w14:paraId="65623F24" w14:textId="6FBC2F4C" w:rsidR="00886181" w:rsidRDefault="005475D1">
      <w:pPr>
        <w:spacing w:after="60"/>
        <w:ind w:firstLine="200"/>
        <w:jc w:val="both"/>
      </w:pPr>
      <w:r>
        <w:t>A detection record should carry its class, confidence, image position</w:t>
      </w:r>
      <w:r>
        <w:t xml:space="preserve"> and observation age. Metric approach control additionally requires a range estimate asso</w:t>
      </w:r>
      <w:r>
        <w:t>ciated with the same target and coordinate frame. Class acceptance and freshness are separate predicates</w:t>
      </w:r>
      <w:r w:rsidR="002D34D0">
        <w:t>.</w:t>
      </w:r>
      <w:r>
        <w:t xml:space="preserve"> </w:t>
      </w:r>
      <w:r w:rsidR="002D34D0">
        <w:t>A</w:t>
      </w:r>
      <w:r>
        <w:t xml:space="preserve"> confident but </w:t>
      </w:r>
      <w:r w:rsidR="002D34D0">
        <w:t>old</w:t>
      </w:r>
      <w:r>
        <w:t xml:space="preserve"> record can</w:t>
      </w:r>
      <w:r w:rsidR="002D34D0">
        <w:t>’</w:t>
      </w:r>
      <w:r>
        <w:t>t authorize a current approach. The task authority supplies the handling policy; visual confidence alone supplies ne</w:t>
      </w:r>
      <w:r>
        <w:t>ither material identification nor permission to manipulate an object.</w:t>
      </w:r>
    </w:p>
    <w:p w14:paraId="051D2B5D" w14:textId="77777777" w:rsidR="00886181" w:rsidRDefault="005475D1">
      <w:pPr>
        <w:keepNext/>
        <w:spacing w:before="80" w:after="40"/>
        <w:jc w:val="center"/>
      </w:pPr>
      <w:r>
        <w:rPr>
          <w:noProof/>
        </w:rPr>
        <w:drawing>
          <wp:inline distT="0" distB="0" distL="0" distR="0" wp14:anchorId="3050C268" wp14:editId="253ECD39">
            <wp:extent cx="3019425" cy="2276475"/>
            <wp:effectExtent l="0" t="0" r="0" b="0"/>
            <wp:docPr id="3" name="Fig. 3" descr="Photograph of the HazBot prototype next to a laptop showing the visualization, with a red ball in front."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9425" cy="2276475"/>
                    </a:xfrm>
                    <a:prstGeom prst="rect">
                      <a:avLst/>
                    </a:prstGeom>
                  </pic:spPr>
                </pic:pic>
              </a:graphicData>
            </a:graphic>
          </wp:inline>
        </w:drawing>
      </w:r>
    </w:p>
    <w:p w14:paraId="4B1535BF" w14:textId="77777777" w:rsidR="00886181" w:rsidRDefault="005475D1">
      <w:pPr>
        <w:spacing w:after="120"/>
        <w:jc w:val="both"/>
      </w:pPr>
      <w:r>
        <w:rPr>
          <w:sz w:val="16"/>
          <w:szCs w:val="16"/>
        </w:rPr>
        <w:t>Fig. 3. Front view with laptop visualization. Markers identify: 1, laptop visualization; 2, LiDAR; 3, arm linkage; 4, gripper; 5, CSI camera; 6, mobile base; 7, ball surrogate.</w:t>
      </w:r>
    </w:p>
    <w:p w14:paraId="07BBCB9D" w14:textId="77777777" w:rsidR="00886181" w:rsidRDefault="005475D1">
      <w:pPr>
        <w:keepNext/>
        <w:spacing w:before="80" w:after="40"/>
        <w:jc w:val="center"/>
      </w:pPr>
      <w:r>
        <w:rPr>
          <w:noProof/>
        </w:rPr>
        <w:drawing>
          <wp:inline distT="0" distB="0" distL="0" distR="0" wp14:anchorId="7553DB72" wp14:editId="2D169927">
            <wp:extent cx="3019425" cy="1714500"/>
            <wp:effectExtent l="0" t="0" r="0" b="0"/>
            <wp:docPr id="4" name="Fig. 4" descr="Screenshot of the operator dashboard with camera view, LiDAR map, wheel controls and arm control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19425" cy="1714500"/>
                    </a:xfrm>
                    <a:prstGeom prst="rect">
                      <a:avLst/>
                    </a:prstGeom>
                  </pic:spPr>
                </pic:pic>
              </a:graphicData>
            </a:graphic>
          </wp:inline>
        </w:drawing>
      </w:r>
    </w:p>
    <w:p w14:paraId="4A7EF6BD" w14:textId="3A16C47C" w:rsidR="00886181" w:rsidRDefault="005475D1">
      <w:pPr>
        <w:spacing w:after="120"/>
        <w:jc w:val="both"/>
      </w:pPr>
      <w:r>
        <w:rPr>
          <w:sz w:val="16"/>
          <w:szCs w:val="16"/>
        </w:rPr>
        <w:t>Fig. 4. Annotated operator dashboard supplied with the prototype. Markers identify: 1</w:t>
      </w:r>
      <w:r w:rsidR="002D34D0">
        <w:rPr>
          <w:sz w:val="16"/>
          <w:szCs w:val="16"/>
        </w:rPr>
        <w:t>.</w:t>
      </w:r>
      <w:r>
        <w:rPr>
          <w:sz w:val="16"/>
          <w:szCs w:val="16"/>
        </w:rPr>
        <w:t xml:space="preserve"> camera view and ball-detection panel; 2</w:t>
      </w:r>
      <w:r w:rsidR="002D34D0">
        <w:rPr>
          <w:sz w:val="16"/>
          <w:szCs w:val="16"/>
        </w:rPr>
        <w:t>.</w:t>
      </w:r>
      <w:r>
        <w:rPr>
          <w:sz w:val="16"/>
          <w:szCs w:val="16"/>
        </w:rPr>
        <w:t xml:space="preserve"> LiDAR/SLAM map; 3</w:t>
      </w:r>
      <w:r w:rsidR="002D34D0">
        <w:rPr>
          <w:sz w:val="16"/>
          <w:szCs w:val="16"/>
        </w:rPr>
        <w:t>.</w:t>
      </w:r>
      <w:r>
        <w:rPr>
          <w:sz w:val="16"/>
          <w:szCs w:val="16"/>
        </w:rPr>
        <w:t xml:space="preserve"> wheel teleoperation controls; 4</w:t>
      </w:r>
      <w:r w:rsidR="002D34D0">
        <w:rPr>
          <w:sz w:val="16"/>
          <w:szCs w:val="16"/>
        </w:rPr>
        <w:t>.</w:t>
      </w:r>
      <w:r>
        <w:rPr>
          <w:sz w:val="16"/>
          <w:szCs w:val="16"/>
        </w:rPr>
        <w:t xml:space="preserve"> four-servo arm controls; 5</w:t>
      </w:r>
      <w:r w:rsidR="002D34D0">
        <w:rPr>
          <w:sz w:val="16"/>
          <w:szCs w:val="16"/>
        </w:rPr>
        <w:t>.</w:t>
      </w:r>
      <w:r>
        <w:rPr>
          <w:sz w:val="16"/>
          <w:szCs w:val="16"/>
        </w:rPr>
        <w:t xml:space="preserve"> ball-autopilot action. The screenshot documents </w:t>
      </w:r>
      <w:r>
        <w:rPr>
          <w:sz w:val="16"/>
          <w:szCs w:val="16"/>
        </w:rPr>
        <w:t>the intended monitoring and command surfaces; it is not evidence of online connectivity, detector accuracy, map quality</w:t>
      </w:r>
      <w:r>
        <w:rPr>
          <w:sz w:val="16"/>
          <w:szCs w:val="16"/>
        </w:rPr>
        <w:t xml:space="preserve"> or autonomous mission success.</w:t>
      </w:r>
    </w:p>
    <w:p w14:paraId="03CC8D0D" w14:textId="77777777" w:rsidR="00886181" w:rsidRDefault="005475D1">
      <w:pPr>
        <w:keepNext/>
        <w:spacing w:before="100" w:after="60"/>
      </w:pPr>
      <w:r>
        <w:rPr>
          <w:i/>
          <w:iCs/>
        </w:rPr>
        <w:t>D. Robotic Hand and Arm</w:t>
      </w:r>
    </w:p>
    <w:p w14:paraId="594BDDC6" w14:textId="1BFAEBCD" w:rsidR="00886181" w:rsidRDefault="002D34D0">
      <w:pPr>
        <w:spacing w:after="60"/>
        <w:ind w:firstLine="200"/>
        <w:jc w:val="both"/>
      </w:pPr>
      <w:r w:rsidRPr="002D34D0">
        <w:t>The manipulator has three ax</w:t>
      </w:r>
      <w:r>
        <w:t>e</w:t>
      </w:r>
      <w:r w:rsidRPr="002D34D0">
        <w:t>s for positioning: base yaw, shoulder pitch, and elbow pitch. It also has a gripper that can be moved separately.</w:t>
      </w:r>
      <w:r w:rsidR="005475D1">
        <w:t xml:space="preserve"> </w:t>
      </w:r>
      <w:r w:rsidR="005475D1">
        <w:t xml:space="preserve">Its modeled wrist is fixed. </w:t>
      </w:r>
      <w:r w:rsidR="003A2F17" w:rsidRPr="003A2F17">
        <w:t>The arm is connected to a dedicated Arduino, which drives</w:t>
      </w:r>
      <w:r w:rsidR="005475D1">
        <w:t xml:space="preserve"> four servo channels, rather than four independent positioning joints.</w:t>
      </w:r>
      <w:r w:rsidR="005475D1">
        <w:t xml:space="preserve"> </w:t>
      </w:r>
      <w:r w:rsidR="003A2F17" w:rsidRPr="003A2F17">
        <w:t>The current arm commands have a preset pickup sequence</w:t>
      </w:r>
      <w:r w:rsidR="003A2F17">
        <w:t>.</w:t>
      </w:r>
      <w:r w:rsidR="005475D1">
        <w:t xml:space="preserve"> </w:t>
      </w:r>
      <w:r w:rsidR="003A2F17">
        <w:t>T</w:t>
      </w:r>
      <w:r w:rsidR="005475D1">
        <w:t>he general seven-phase coo</w:t>
      </w:r>
      <w:r w:rsidR="005475D1">
        <w:t>rdinator introduced below is a separate executable reference model. Keeping the drive and arm Arduino paths distinct also avoids conflating their serial protocols and pin assignments.</w:t>
      </w:r>
    </w:p>
    <w:p w14:paraId="4E87DBA8" w14:textId="77777777" w:rsidR="00886181" w:rsidRDefault="005475D1">
      <w:pPr>
        <w:keepNext/>
        <w:spacing w:before="200" w:after="80"/>
        <w:jc w:val="center"/>
      </w:pPr>
      <w:r>
        <w:rPr>
          <w:smallCaps/>
        </w:rPr>
        <w:t>IV. Retrieval Coordination and Analysis Method</w:t>
      </w:r>
    </w:p>
    <w:p w14:paraId="4D0296FE" w14:textId="77777777" w:rsidR="00886181" w:rsidRDefault="005475D1">
      <w:pPr>
        <w:keepNext/>
        <w:spacing w:before="100" w:after="60"/>
      </w:pPr>
      <w:r>
        <w:rPr>
          <w:i/>
          <w:iCs/>
        </w:rPr>
        <w:t>A. Mission and Evidence C</w:t>
      </w:r>
      <w:r>
        <w:rPr>
          <w:i/>
          <w:iCs/>
        </w:rPr>
        <w:t>ontracts</w:t>
      </w:r>
    </w:p>
    <w:p w14:paraId="77677BBE" w14:textId="28E057EB" w:rsidR="00886181" w:rsidRDefault="005475D1">
      <w:pPr>
        <w:spacing w:after="60"/>
        <w:ind w:firstLine="200"/>
        <w:jc w:val="both"/>
      </w:pPr>
      <w:r>
        <w:t xml:space="preserve">The mission consists of </w:t>
      </w:r>
      <w:r>
        <w:t>SEARCH, APPROACH, DOCK, GRASP, CARRY, PLACE</w:t>
      </w:r>
      <w:r>
        <w:t xml:space="preserve"> and COMPLETE (Fig. 5). SEARCH selects an authorized candidate. APPROACH moves the base toward its pickup region. DOCK transfers control from base motion to positioning the arm. G</w:t>
      </w:r>
      <w:r>
        <w:t>RASP secures the object, CARRY transports it with the arm stowed</w:t>
      </w:r>
      <w:r>
        <w:t xml:space="preserve"> and PLACE releases it at the designated deposit location. COMPLETE closes the task only after a release indication.</w:t>
      </w:r>
    </w:p>
    <w:p w14:paraId="58031053" w14:textId="13CDC2B6" w:rsidR="00886181" w:rsidRDefault="005475D1">
      <w:pPr>
        <w:spacing w:after="60"/>
        <w:ind w:firstLine="200"/>
        <w:jc w:val="both"/>
      </w:pPr>
      <w:r>
        <w:t xml:space="preserve">Let </w:t>
      </w:r>
      <w:r>
        <w:rPr>
          <w:i/>
          <w:iCs/>
        </w:rPr>
        <w:t>T</w:t>
      </w:r>
      <w:r>
        <w:t xml:space="preserve"> denote an authorized, fresh target; </w:t>
      </w:r>
      <w:r>
        <w:rPr>
          <w:i/>
          <w:iCs/>
        </w:rPr>
        <w:t>S</w:t>
      </w:r>
      <w:r>
        <w:t xml:space="preserve"> a fresh, usable scan; </w:t>
      </w:r>
      <w:r>
        <w:rPr>
          <w:i/>
          <w:iCs/>
        </w:rPr>
        <w:t>C</w:t>
      </w:r>
      <w:r>
        <w:t xml:space="preserve"> a clea</w:t>
      </w:r>
      <w:r>
        <w:t xml:space="preserve">r route; </w:t>
      </w:r>
      <w:r>
        <w:rPr>
          <w:i/>
          <w:iCs/>
        </w:rPr>
        <w:t>A</w:t>
      </w:r>
      <w:r>
        <w:t xml:space="preserve"> </w:t>
      </w:r>
      <w:proofErr w:type="spellStart"/>
      <w:r>
        <w:t>a</w:t>
      </w:r>
      <w:proofErr w:type="spellEnd"/>
      <w:r>
        <w:t xml:space="preserve"> stowed arm</w:t>
      </w:r>
      <w:r>
        <w:t xml:space="preserve"> and </w:t>
      </w:r>
      <w:r>
        <w:rPr>
          <w:i/>
          <w:iCs/>
        </w:rPr>
        <w:t>B</w:t>
      </w:r>
      <w:r>
        <w:t xml:space="preserve"> a stopped base. The principal command contracts are</w:t>
      </w:r>
    </w:p>
    <w:p w14:paraId="08961400" w14:textId="77777777" w:rsidR="00886181" w:rsidRDefault="005475D1">
      <w:pPr>
        <w:tabs>
          <w:tab w:val="center" w:pos="2376"/>
          <w:tab w:val="right" w:pos="4753"/>
        </w:tabs>
        <w:spacing w:before="60" w:after="60"/>
      </w:pPr>
      <w:r>
        <w:lastRenderedPageBreak/>
        <w:tab/>
      </w:r>
      <m:oMath>
        <m:r>
          <w:rPr>
            <w:rFonts w:ascii="Cambria Math" w:hAnsi="Cambria Math"/>
          </w:rPr>
          <m:t>base</m:t>
        </m:r>
        <m:r>
          <w:rPr>
            <w:rFonts w:ascii="Cambria Math" w:hAnsi="Cambria Math"/>
          </w:rPr>
          <m:t xml:space="preserve"> </m:t>
        </m:r>
        <m:r>
          <w:rPr>
            <w:rFonts w:ascii="Cambria Math" w:hAnsi="Cambria Math"/>
          </w:rPr>
          <m:t>motion</m:t>
        </m:r>
        <m:r>
          <w:rPr>
            <w:rFonts w:ascii="Cambria Math" w:hAnsi="Cambria Math"/>
          </w:rPr>
          <m:t xml:space="preserve"> ⇒ </m:t>
        </m:r>
        <m:r>
          <w:rPr>
            <w:rFonts w:ascii="Cambria Math" w:hAnsi="Cambria Math"/>
          </w:rPr>
          <m:t>S</m:t>
        </m:r>
        <m:r>
          <w:rPr>
            <w:rFonts w:ascii="Cambria Math" w:hAnsi="Cambria Math"/>
          </w:rPr>
          <m:t xml:space="preserve"> ∧ </m:t>
        </m:r>
        <m:r>
          <w:rPr>
            <w:rFonts w:ascii="Cambria Math" w:hAnsi="Cambria Math"/>
          </w:rPr>
          <m:t>C</m:t>
        </m:r>
        <m:r>
          <w:rPr>
            <w:rFonts w:ascii="Cambria Math" w:hAnsi="Cambria Math"/>
          </w:rPr>
          <m:t xml:space="preserve"> ∧ </m:t>
        </m:r>
        <m:r>
          <w:rPr>
            <w:rFonts w:ascii="Cambria Math" w:hAnsi="Cambria Math"/>
          </w:rPr>
          <m:t>A</m:t>
        </m:r>
        <m:r>
          <w:rPr>
            <w:rFonts w:ascii="Cambria Math" w:hAnsi="Cambria Math"/>
          </w:rPr>
          <m:t>,</m:t>
        </m:r>
      </m:oMath>
      <w:r>
        <w:tab/>
        <w:t>(2)</w:t>
      </w:r>
    </w:p>
    <w:p w14:paraId="008A014C" w14:textId="77777777" w:rsidR="00886181" w:rsidRDefault="005475D1">
      <w:pPr>
        <w:tabs>
          <w:tab w:val="center" w:pos="2376"/>
          <w:tab w:val="right" w:pos="4753"/>
        </w:tabs>
        <w:spacing w:before="60" w:after="60"/>
      </w:pPr>
      <w:r>
        <w:tab/>
      </w:r>
      <m:oMath>
        <m:r>
          <w:rPr>
            <w:rFonts w:ascii="Cambria Math" w:hAnsi="Cambria Math"/>
          </w:rPr>
          <m:t>target</m:t>
        </m:r>
        <m:r>
          <w:rPr>
            <w:rFonts w:ascii="Cambria Math" w:hAnsi="Cambria Math"/>
          </w:rPr>
          <m:t xml:space="preserve"> </m:t>
        </m:r>
        <m:r>
          <w:rPr>
            <w:rFonts w:ascii="Cambria Math" w:hAnsi="Cambria Math"/>
          </w:rPr>
          <m:t>approac</m:t>
        </m:r>
        <m:r>
          <w:rPr>
            <w:rFonts w:ascii="Cambria Math" w:hAnsi="Cambria Math"/>
          </w:rPr>
          <m:t>h</m:t>
        </m:r>
        <m:r>
          <w:rPr>
            <w:rFonts w:ascii="Cambria Math" w:hAnsi="Cambria Math"/>
          </w:rPr>
          <m:t xml:space="preserve"> ⇒ </m:t>
        </m:r>
        <m:r>
          <w:rPr>
            <w:rFonts w:ascii="Cambria Math" w:hAnsi="Cambria Math"/>
          </w:rPr>
          <m:t>T</m:t>
        </m:r>
        <m:r>
          <w:rPr>
            <w:rFonts w:ascii="Cambria Math" w:hAnsi="Cambria Math"/>
          </w:rPr>
          <m:t>,</m:t>
        </m:r>
      </m:oMath>
      <w:r>
        <w:tab/>
        <w:t>(3)</w:t>
      </w:r>
    </w:p>
    <w:p w14:paraId="4960640D" w14:textId="77777777" w:rsidR="00886181" w:rsidRDefault="005475D1">
      <w:pPr>
        <w:tabs>
          <w:tab w:val="center" w:pos="2376"/>
          <w:tab w:val="right" w:pos="4753"/>
        </w:tabs>
        <w:spacing w:before="60" w:after="60"/>
      </w:pPr>
      <w:r>
        <w:tab/>
      </w:r>
      <m:oMath>
        <m:r>
          <w:rPr>
            <w:rFonts w:ascii="Cambria Math" w:hAnsi="Cambria Math"/>
          </w:rPr>
          <m:t>arm</m:t>
        </m:r>
        <m:r>
          <w:rPr>
            <w:rFonts w:ascii="Cambria Math" w:hAnsi="Cambria Math"/>
          </w:rPr>
          <m:t xml:space="preserve"> </m:t>
        </m:r>
        <m:r>
          <w:rPr>
            <w:rFonts w:ascii="Cambria Math" w:hAnsi="Cambria Math"/>
          </w:rPr>
          <m:t>motion</m:t>
        </m:r>
        <m:r>
          <w:rPr>
            <w:rFonts w:ascii="Cambria Math" w:hAnsi="Cambria Math"/>
          </w:rPr>
          <m:t xml:space="preserve"> ⇒ </m:t>
        </m:r>
        <m:r>
          <w:rPr>
            <w:rFonts w:ascii="Cambria Math" w:hAnsi="Cambria Math"/>
          </w:rPr>
          <m:t>B</m:t>
        </m:r>
        <m:r>
          <w:rPr>
            <w:rFonts w:ascii="Cambria Math" w:hAnsi="Cambria Math"/>
          </w:rPr>
          <m:t>.</m:t>
        </m:r>
      </m:oMath>
      <w:r>
        <w:tab/>
        <w:t>(4)</w:t>
      </w:r>
    </w:p>
    <w:p w14:paraId="11EB1D58" w14:textId="08CA47E6" w:rsidR="00886181" w:rsidRDefault="005475D1">
      <w:pPr>
        <w:spacing w:after="60"/>
        <w:jc w:val="both"/>
      </w:pPr>
      <w:r>
        <w:t xml:space="preserve">Reach and gripper closure additionally require </w:t>
      </w:r>
      <w:r>
        <w:rPr>
          <w:i/>
          <w:iCs/>
        </w:rPr>
        <w:t>T</w:t>
      </w:r>
      <w:r>
        <w:t xml:space="preserve"> and a reac</w:t>
      </w:r>
      <w:r>
        <w:t>hable wrist target. Release requires the deposit region and a grip indication. The reference controller also requires scan health during docking, grasping, and placement. A failed prerequisite produces HOLD without phase advancement. HOLD means no active-m</w:t>
      </w:r>
      <w:r>
        <w:t>otion request and must be implemented as an explicit stop at an actuator boundary. Logical transitions on target acquisition and release may also emit HOLD. A stop request and a stopped-base observation are distinct events</w:t>
      </w:r>
      <w:r w:rsidR="00090057">
        <w:t xml:space="preserve">. </w:t>
      </w:r>
      <w:r w:rsidR="00090057" w:rsidRPr="00090057">
        <w:t>To make B happen, a deployed implementation needs measured feedback and a clear stop-confirmation rule.</w:t>
      </w:r>
    </w:p>
    <w:p w14:paraId="03D17703" w14:textId="5F49978B" w:rsidR="00886181" w:rsidRDefault="005475D1">
      <w:pPr>
        <w:spacing w:after="60"/>
        <w:ind w:firstLine="200"/>
        <w:jc w:val="both"/>
      </w:pPr>
      <w:r>
        <w:t>The abstract observations comprise twelve Boolean values: target authorization and freshness; scan freshness and usability; route clearance; arm stowage; base stopped; wrist reachabil</w:t>
      </w:r>
      <w:r>
        <w:t>ity; pickup-region arrival; grip confirmation; deposit-region arrival</w:t>
      </w:r>
      <w:r>
        <w:t xml:space="preserve"> and release confirmation. Each has a specific role in the interface</w:t>
      </w:r>
      <w:r>
        <w:t xml:space="preserve"> but this discrete model does not </w:t>
      </w:r>
      <w:r>
        <w:t xml:space="preserve">generate these observations from physical sensors. In particular, grip and release </w:t>
      </w:r>
      <w:r>
        <w:t>indications are input assumptions, not inferred force or contact measurements.</w:t>
      </w:r>
    </w:p>
    <w:p w14:paraId="15CF70DB" w14:textId="77777777" w:rsidR="00886181" w:rsidRDefault="005475D1">
      <w:pPr>
        <w:keepNext/>
        <w:spacing w:before="100" w:after="60"/>
      </w:pPr>
      <w:r>
        <w:rPr>
          <w:i/>
          <w:iCs/>
        </w:rPr>
        <w:t>B. Bounded Reference-Model Verification</w:t>
      </w:r>
    </w:p>
    <w:p w14:paraId="52292EF7" w14:textId="46AB600C" w:rsidR="00886181" w:rsidRDefault="005475D1">
      <w:pPr>
        <w:spacing w:after="60"/>
        <w:ind w:firstLine="200"/>
        <w:jc w:val="both"/>
      </w:pPr>
      <w:r>
        <w:t>We enumerate every observation valuation at every phase: 7 × 2</w:t>
      </w:r>
      <w:r>
        <w:rPr>
          <w:vertAlign w:val="superscript"/>
        </w:rPr>
        <w:t>12</w:t>
      </w:r>
      <w:r>
        <w:t xml:space="preserve"> = 28,672 phase–observation pairs per policy. No valuations are pruned. A separate admissibility oracle checks the output action against </w:t>
      </w:r>
      <w:proofErr w:type="spellStart"/>
      <w:r>
        <w:t>Eqs</w:t>
      </w:r>
      <w:proofErr w:type="spellEnd"/>
      <w:r>
        <w:t>. 2–4 and the target, reach</w:t>
      </w:r>
      <w:r>
        <w:t xml:space="preserve"> and placement conditions. Breadth-first exploration establishes phase reachability and </w:t>
      </w:r>
      <w:r>
        <w:t>extracts shortest-prefix counterexamples. Three ablations remove the base–arm interlock, target authorization</w:t>
      </w:r>
      <w:r>
        <w:t xml:space="preserve"> or scan-age requirement from the controller while retaining the full oracle. This design tests whether each omitted condition creates a concrete </w:t>
      </w:r>
      <w:r>
        <w:t>contract violation.</w:t>
      </w:r>
    </w:p>
    <w:p w14:paraId="10FB966C" w14:textId="77777777" w:rsidR="00886181" w:rsidRDefault="005475D1">
      <w:pPr>
        <w:spacing w:after="60"/>
        <w:ind w:firstLine="200"/>
        <w:jc w:val="both"/>
      </w:pPr>
      <w:r>
        <w:t>The enumeration includes observation combinations that may be physically inconsistent. Consequently, counts describe the complete Boolean specification domain rather than probabilities or frequencies of robot failure. A nominal abstract</w:t>
      </w:r>
      <w:r>
        <w:t xml:space="preserve"> trace checks that admissible observations permit progression to COMPLETE. Neither this trace nor phase reachability measures physical mission success.</w:t>
      </w:r>
    </w:p>
    <w:p w14:paraId="1EC654CD" w14:textId="77777777" w:rsidR="00886181" w:rsidRDefault="00886181">
      <w:pPr>
        <w:sectPr w:rsidR="00886181">
          <w:type w:val="continuous"/>
          <w:pgSz w:w="11906" w:h="16838"/>
          <w:pgMar w:top="1100" w:right="1000" w:bottom="1100" w:left="1000" w:header="708" w:footer="708" w:gutter="0"/>
          <w:cols w:num="2" w:space="400"/>
          <w:docGrid w:linePitch="360"/>
        </w:sectPr>
      </w:pPr>
    </w:p>
    <w:p w14:paraId="39AFEC5A" w14:textId="77777777" w:rsidR="00886181" w:rsidRDefault="005475D1">
      <w:pPr>
        <w:keepNext/>
        <w:spacing w:before="80" w:after="40"/>
        <w:jc w:val="center"/>
      </w:pPr>
      <w:r>
        <w:rPr>
          <w:noProof/>
        </w:rPr>
        <w:drawing>
          <wp:inline distT="0" distB="0" distL="0" distR="0" wp14:anchorId="56FE4702" wp14:editId="73F6E965">
            <wp:extent cx="6286500" cy="1762125"/>
            <wp:effectExtent l="0" t="0" r="0" b="0"/>
            <wp:docPr id="5" name="Fig. 5" descr="Flow strip of the seven mission phases SEARCH to COMPLETE with transition conditions and motion interlock."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1762125"/>
                    </a:xfrm>
                    <a:prstGeom prst="rect">
                      <a:avLst/>
                    </a:prstGeom>
                  </pic:spPr>
                </pic:pic>
              </a:graphicData>
            </a:graphic>
          </wp:inline>
        </w:drawing>
      </w:r>
    </w:p>
    <w:p w14:paraId="2D0B1529" w14:textId="77777777" w:rsidR="00886181" w:rsidRDefault="005475D1">
      <w:pPr>
        <w:spacing w:after="120"/>
        <w:jc w:val="both"/>
      </w:pPr>
      <w:r>
        <w:rPr>
          <w:sz w:val="16"/>
          <w:szCs w:val="16"/>
        </w:rPr>
        <w:t>Fig. 5. Seven-phase reference retrieval mission. Conditions summarize the ha</w:t>
      </w:r>
      <w:r>
        <w:rPr>
          <w:sz w:val="16"/>
          <w:szCs w:val="16"/>
        </w:rPr>
        <w:t>ndoff evidence; complete command predicates are defined in the text and executable model. A failed prerequisite requests HOLD at the current phase. The strip depicts the coordination specification, rather than a measured physical trajectory.</w:t>
      </w:r>
    </w:p>
    <w:p w14:paraId="1D377EEB" w14:textId="77777777" w:rsidR="00886181" w:rsidRDefault="00886181">
      <w:pPr>
        <w:sectPr w:rsidR="00886181">
          <w:type w:val="continuous"/>
          <w:pgSz w:w="11906" w:h="16838"/>
          <w:pgMar w:top="1100" w:right="1000" w:bottom="1100" w:left="1000" w:header="708" w:footer="708" w:gutter="0"/>
          <w:cols w:space="720"/>
          <w:docGrid w:linePitch="360"/>
        </w:sectPr>
      </w:pPr>
    </w:p>
    <w:p w14:paraId="750CB99C" w14:textId="77777777" w:rsidR="00886181" w:rsidRDefault="005475D1">
      <w:pPr>
        <w:keepNext/>
        <w:spacing w:before="100" w:after="60"/>
      </w:pPr>
      <w:r>
        <w:rPr>
          <w:i/>
          <w:iCs/>
        </w:rPr>
        <w:t>C. Source-Derived Wrist Geometry</w:t>
      </w:r>
    </w:p>
    <w:p w14:paraId="04399760" w14:textId="77777777" w:rsidR="00886181" w:rsidRDefault="005475D1">
      <w:pPr>
        <w:spacing w:after="60"/>
        <w:ind w:firstLine="200"/>
        <w:jc w:val="both"/>
      </w:pPr>
      <w:r>
        <w:t xml:space="preserve">Figure 6 connects arm geometry to the docking prerequisite. From the URDF chain, the shoulder lies at (0.100, 0, 0.155) m in the base frame and both positioning links have length </w:t>
      </w:r>
      <w:r>
        <w:rPr>
          <w:i/>
          <w:iCs/>
        </w:rPr>
        <w:t>L</w:t>
      </w:r>
      <w:r>
        <w:rPr>
          <w:vertAlign w:val="subscript"/>
        </w:rPr>
        <w:t>1</w:t>
      </w:r>
      <w:r>
        <w:t xml:space="preserve"> = </w:t>
      </w:r>
      <w:r>
        <w:rPr>
          <w:i/>
          <w:iCs/>
        </w:rPr>
        <w:t>L</w:t>
      </w:r>
      <w:r>
        <w:rPr>
          <w:vertAlign w:val="subscript"/>
        </w:rPr>
        <w:t>2</w:t>
      </w:r>
      <w:r>
        <w:t xml:space="preserve"> = 0.100 m. The zero pose has a vertical upper link and horizontal forearm. The figure uses </w:t>
      </w:r>
      <w:r>
        <w:rPr>
          <w:i/>
          <w:iCs/>
        </w:rPr>
        <w:t>q</w:t>
      </w:r>
      <w:r>
        <w:rPr>
          <w:vertAlign w:val="subscript"/>
        </w:rPr>
        <w:t>1</w:t>
      </w:r>
      <w:r>
        <w:t xml:space="preserve"> = </w:t>
      </w:r>
      <w:proofErr w:type="spellStart"/>
      <w:r>
        <w:rPr>
          <w:i/>
          <w:iCs/>
        </w:rPr>
        <w:t>q</w:t>
      </w:r>
      <w:r>
        <w:rPr>
          <w:vertAlign w:val="subscript"/>
        </w:rPr>
        <w:t>b</w:t>
      </w:r>
      <w:proofErr w:type="spellEnd"/>
      <w:r>
        <w:t xml:space="preserve">, </w:t>
      </w:r>
      <w:r>
        <w:rPr>
          <w:i/>
          <w:iCs/>
        </w:rPr>
        <w:t>q</w:t>
      </w:r>
      <w:r>
        <w:rPr>
          <w:vertAlign w:val="subscript"/>
        </w:rPr>
        <w:t>2</w:t>
      </w:r>
      <w:r>
        <w:t xml:space="preserve"> = </w:t>
      </w:r>
      <w:proofErr w:type="spellStart"/>
      <w:r>
        <w:rPr>
          <w:i/>
          <w:iCs/>
        </w:rPr>
        <w:t>q</w:t>
      </w:r>
      <w:r>
        <w:rPr>
          <w:vertAlign w:val="subscript"/>
        </w:rPr>
        <w:t>s</w:t>
      </w:r>
      <w:proofErr w:type="spellEnd"/>
      <w:r>
        <w:t xml:space="preserve">, and </w:t>
      </w:r>
      <w:r>
        <w:rPr>
          <w:i/>
          <w:iCs/>
        </w:rPr>
        <w:t>q</w:t>
      </w:r>
      <w:r>
        <w:rPr>
          <w:vertAlign w:val="subscript"/>
        </w:rPr>
        <w:t>3</w:t>
      </w:r>
      <w:r>
        <w:t xml:space="preserve"> = </w:t>
      </w:r>
      <w:proofErr w:type="spellStart"/>
      <w:r>
        <w:rPr>
          <w:i/>
          <w:iCs/>
        </w:rPr>
        <w:t>q</w:t>
      </w:r>
      <w:r>
        <w:rPr>
          <w:vertAlign w:val="subscript"/>
        </w:rPr>
        <w:t>e</w:t>
      </w:r>
      <w:proofErr w:type="spellEnd"/>
      <w:r>
        <w:t xml:space="preserve">. For yaw </w:t>
      </w:r>
      <w:proofErr w:type="spellStart"/>
      <w:r>
        <w:rPr>
          <w:i/>
          <w:iCs/>
        </w:rPr>
        <w:t>q</w:t>
      </w:r>
      <w:r>
        <w:rPr>
          <w:vertAlign w:val="subscript"/>
        </w:rPr>
        <w:t>b</w:t>
      </w:r>
      <w:proofErr w:type="spellEnd"/>
      <w:r>
        <w:t xml:space="preserve">, shoulder angle </w:t>
      </w:r>
      <w:proofErr w:type="spellStart"/>
      <w:r>
        <w:rPr>
          <w:i/>
          <w:iCs/>
        </w:rPr>
        <w:t>q</w:t>
      </w:r>
      <w:r>
        <w:rPr>
          <w:vertAlign w:val="subscript"/>
        </w:rPr>
        <w:t>s</w:t>
      </w:r>
      <w:proofErr w:type="spellEnd"/>
      <w:r>
        <w:t xml:space="preserve">, and elbow angle </w:t>
      </w:r>
      <w:proofErr w:type="spellStart"/>
      <w:r>
        <w:rPr>
          <w:i/>
          <w:iCs/>
        </w:rPr>
        <w:t>q</w:t>
      </w:r>
      <w:r>
        <w:rPr>
          <w:vertAlign w:val="subscript"/>
        </w:rPr>
        <w:t>e</w:t>
      </w:r>
      <w:proofErr w:type="spellEnd"/>
      <w:r>
        <w:t>, the wrist origin is</w:t>
      </w:r>
    </w:p>
    <w:p w14:paraId="30710189" w14:textId="77777777" w:rsidR="00886181" w:rsidRDefault="005475D1">
      <w:pPr>
        <w:tabs>
          <w:tab w:val="center" w:pos="2376"/>
          <w:tab w:val="right" w:pos="4753"/>
        </w:tabs>
        <w:spacing w:before="60" w:after="60"/>
      </w:pPr>
      <w:r>
        <w:tab/>
      </w:r>
      <m:oMath>
        <m:r>
          <w:rPr>
            <w:rFonts w:ascii="Cambria Math" w:hAnsi="Cambria Math"/>
          </w:rPr>
          <m:t>r</m:t>
        </m:r>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 xml:space="preserve"> </m:t>
        </m:r>
        <m:r>
          <w:rPr>
            <w:rFonts w:ascii="Cambria Math" w:hAnsi="Cambria Math"/>
          </w:rPr>
          <m:t>sin</m:t>
        </m:r>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 xml:space="preserve"> </m:t>
        </m:r>
        <m: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e</m:t>
            </m:r>
          </m:sub>
        </m:sSub>
        <m:r>
          <w:rPr>
            <w:rFonts w:ascii="Cambria Math" w:hAnsi="Cambria Math"/>
          </w:rPr>
          <m:t>),</m:t>
        </m:r>
      </m:oMath>
      <w:r>
        <w:tab/>
        <w:t>(5)</w:t>
      </w:r>
    </w:p>
    <w:p w14:paraId="7A54BF6E" w14:textId="77777777" w:rsidR="00886181" w:rsidRDefault="005475D1">
      <w:pPr>
        <w:tabs>
          <w:tab w:val="center" w:pos="2376"/>
          <w:tab w:val="right" w:pos="4753"/>
        </w:tabs>
        <w:spacing w:before="60" w:after="60"/>
      </w:pPr>
      <w:r>
        <w:tab/>
      </w:r>
      <m:oMath>
        <m:r>
          <w:rPr>
            <w:rFonts w:ascii="Cambria Math" w:hAnsi="Cambria Math"/>
          </w:rPr>
          <m:t>x</m:t>
        </m:r>
        <m:r>
          <w:rPr>
            <w:rFonts w:ascii="Cambria Math" w:hAnsi="Cambria Math"/>
          </w:rPr>
          <m:t xml:space="preserve"> = 0.1</m:t>
        </m:r>
        <m:r>
          <w:rPr>
            <w:rFonts w:ascii="Cambria Math" w:hAnsi="Cambria Math"/>
          </w:rPr>
          <m:t xml:space="preserve">00 + </m:t>
        </m:r>
        <m:r>
          <w:rPr>
            <w:rFonts w:ascii="Cambria Math" w:hAnsi="Cambria Math"/>
          </w:rPr>
          <m:t>r</m:t>
        </m:r>
        <m:r>
          <w:rPr>
            <w:rFonts w:ascii="Cambria Math" w:hAnsi="Cambria Math"/>
          </w:rPr>
          <m:t xml:space="preserve"> </m:t>
        </m:r>
        <m:r>
          <w:rPr>
            <w:rFonts w:ascii="Cambria Math" w:hAnsi="Cambria Math"/>
          </w:rPr>
          <m:t>cos</m:t>
        </m:r>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 xml:space="preserve">,    </m:t>
        </m:r>
        <m:r>
          <w:rPr>
            <w:rFonts w:ascii="Cambria Math" w:hAnsi="Cambria Math"/>
          </w:rPr>
          <m:t>y</m:t>
        </m:r>
        <m:r>
          <w:rPr>
            <w:rFonts w:ascii="Cambria Math" w:hAnsi="Cambria Math"/>
          </w:rPr>
          <m:t xml:space="preserve"> = </m:t>
        </m:r>
        <m:r>
          <w:rPr>
            <w:rFonts w:ascii="Cambria Math" w:hAnsi="Cambria Math"/>
          </w:rPr>
          <m:t>r</m:t>
        </m:r>
        <m:r>
          <w:rPr>
            <w:rFonts w:ascii="Cambria Math" w:hAnsi="Cambria Math"/>
          </w:rPr>
          <m:t xml:space="preserve"> </m:t>
        </m:r>
        <m:r>
          <w:rPr>
            <w:rFonts w:ascii="Cambria Math" w:hAnsi="Cambria Math"/>
          </w:rPr>
          <m:t>sin</m:t>
        </m:r>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oMath>
      <w:r>
        <w:tab/>
        <w:t>(6)</w:t>
      </w:r>
    </w:p>
    <w:p w14:paraId="2040D6EC" w14:textId="77777777" w:rsidR="00886181" w:rsidRDefault="005475D1">
      <w:pPr>
        <w:tabs>
          <w:tab w:val="center" w:pos="2376"/>
          <w:tab w:val="right" w:pos="4753"/>
        </w:tabs>
        <w:spacing w:before="60" w:after="60"/>
      </w:pPr>
      <w:r>
        <w:tab/>
      </w:r>
      <m:oMath>
        <m:r>
          <w:rPr>
            <w:rFonts w:ascii="Cambria Math" w:hAnsi="Cambria Math"/>
          </w:rPr>
          <m:t>z</m:t>
        </m:r>
        <m:r>
          <w:rPr>
            <w:rFonts w:ascii="Cambria Math" w:hAnsi="Cambria Math"/>
          </w:rPr>
          <m:t xml:space="preserve"> = 0.155 + </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 xml:space="preserve"> </m:t>
        </m:r>
        <m:r>
          <w:rPr>
            <w:rFonts w:ascii="Cambria Math" w:hAnsi="Cambria Math"/>
          </w:rPr>
          <m:t>cos</m:t>
        </m:r>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 xml:space="preserve"> </m:t>
        </m:r>
        <m: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e</m:t>
            </m:r>
          </m:sub>
        </m:sSub>
        <m:r>
          <w:rPr>
            <w:rFonts w:ascii="Cambria Math" w:hAnsi="Cambria Math"/>
          </w:rPr>
          <m:t>).</m:t>
        </m:r>
      </m:oMath>
      <w:r>
        <w:tab/>
        <w:t>(7)</w:t>
      </w:r>
    </w:p>
    <w:p w14:paraId="7281EE3A" w14:textId="794970AF" w:rsidR="00886181" w:rsidRDefault="005475D1">
      <w:pPr>
        <w:spacing w:after="60"/>
        <w:jc w:val="both"/>
      </w:pPr>
      <w:r>
        <w:t xml:space="preserve">We sample 41 values, including both bounds, for each positioning joint. The declared bounds are </w:t>
      </w:r>
      <w:proofErr w:type="spellStart"/>
      <w:r>
        <w:rPr>
          <w:i/>
          <w:iCs/>
        </w:rPr>
        <w:t>q</w:t>
      </w:r>
      <w:r>
        <w:rPr>
          <w:vertAlign w:val="subscript"/>
        </w:rPr>
        <w:t>b</w:t>
      </w:r>
      <w:proofErr w:type="spellEnd"/>
      <w:r>
        <w:t xml:space="preserve"> ∈ [−1.5708, 1.5708], </w:t>
      </w:r>
      <w:proofErr w:type="spellStart"/>
      <w:r>
        <w:rPr>
          <w:i/>
          <w:iCs/>
        </w:rPr>
        <w:t>q</w:t>
      </w:r>
      <w:r>
        <w:rPr>
          <w:vertAlign w:val="subscript"/>
        </w:rPr>
        <w:t>s</w:t>
      </w:r>
      <w:proofErr w:type="spellEnd"/>
      <w:r>
        <w:t xml:space="preserve"> ∈ [−0.5, 2.6179], and </w:t>
      </w:r>
      <w:proofErr w:type="spellStart"/>
      <w:r>
        <w:rPr>
          <w:i/>
          <w:iCs/>
        </w:rPr>
        <w:t>q</w:t>
      </w:r>
      <w:r>
        <w:rPr>
          <w:vertAlign w:val="subscript"/>
        </w:rPr>
        <w:t>e</w:t>
      </w:r>
      <w:proofErr w:type="spellEnd"/>
      <w:r>
        <w:t xml:space="preserve"> ∈ [−1.5708, 2.6179] rad. An independent homogeneous-transform implementation evaluates the URDF chain at 1,000 seeded random poses and 13 special poses. Agreement checks numerical implementation, while the grid characterizes the ideal wrist envelope. The</w:t>
      </w:r>
      <w:r>
        <w:t xml:space="preserve"> wrist origin is not a calibrated grasp contact point; collision, load, compliance</w:t>
      </w:r>
      <w:r>
        <w:t xml:space="preserve"> and stability constraints are not represented.</w:t>
      </w:r>
    </w:p>
    <w:p w14:paraId="7D9D26BF" w14:textId="77777777" w:rsidR="00886181" w:rsidRDefault="005475D1">
      <w:pPr>
        <w:keepNext/>
        <w:spacing w:before="80" w:after="40"/>
        <w:jc w:val="center"/>
      </w:pPr>
      <w:r>
        <w:rPr>
          <w:noProof/>
        </w:rPr>
        <w:drawing>
          <wp:inline distT="0" distB="0" distL="0" distR="0" wp14:anchorId="6264C771" wp14:editId="4F442EB7">
            <wp:extent cx="3019425" cy="2162175"/>
            <wp:effectExtent l="0" t="0" r="0" b="0"/>
            <wp:docPr id="6" name="Fig. 6" descr="Sagittal diagram of the arm at zero pose with joint labels and an inset of sampled wrist position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19425" cy="2162175"/>
                    </a:xfrm>
                    <a:prstGeom prst="rect">
                      <a:avLst/>
                    </a:prstGeom>
                  </pic:spPr>
                </pic:pic>
              </a:graphicData>
            </a:graphic>
          </wp:inline>
        </w:drawing>
      </w:r>
    </w:p>
    <w:p w14:paraId="10E45B03" w14:textId="77777777" w:rsidR="00886181" w:rsidRDefault="005475D1">
      <w:pPr>
        <w:spacing w:after="120"/>
        <w:jc w:val="both"/>
      </w:pPr>
      <w:r>
        <w:rPr>
          <w:sz w:val="16"/>
          <w:szCs w:val="16"/>
        </w:rPr>
        <w:t>Fig. 6. Source-derived arm geometry at zero joint coordinates, with joint axes and fixed wrist origin. The small inset show</w:t>
      </w:r>
      <w:r>
        <w:rPr>
          <w:sz w:val="16"/>
          <w:szCs w:val="16"/>
        </w:rPr>
        <w:t>s 1,681 zero-yaw wrist samples, the link-sum bound, and modeled ground exclusions. Samples describe ideal geometry rather than calibrated contact positions or collision-free grasps.</w:t>
      </w:r>
    </w:p>
    <w:p w14:paraId="23842BAD" w14:textId="77777777" w:rsidR="00886181" w:rsidRDefault="005475D1">
      <w:pPr>
        <w:keepNext/>
        <w:spacing w:before="100" w:after="60"/>
      </w:pPr>
      <w:r>
        <w:rPr>
          <w:i/>
          <w:iCs/>
        </w:rPr>
        <w:t>D. Command-Interface Characterization</w:t>
      </w:r>
    </w:p>
    <w:p w14:paraId="208C5E6C" w14:textId="0C3C8F10" w:rsidR="00886181" w:rsidRDefault="006427C9">
      <w:pPr>
        <w:spacing w:after="60"/>
        <w:ind w:firstLine="200"/>
        <w:jc w:val="both"/>
      </w:pPr>
      <w:r w:rsidRPr="006427C9">
        <w:t>Using Python's abstract syntax tree, we isolate the SET: branch of the actual wheel gateway and replace only the transport sender with an in-memory recorder.</w:t>
      </w:r>
      <w:r w:rsidR="005475D1">
        <w:t xml:space="preserve"> </w:t>
      </w:r>
      <w:r w:rsidR="005475D1">
        <w:t>All integer pairs (</w:t>
      </w:r>
      <w:r w:rsidR="005475D1">
        <w:rPr>
          <w:i/>
          <w:iCs/>
        </w:rPr>
        <w:t>l</w:t>
      </w:r>
      <w:r w:rsidR="005475D1">
        <w:t xml:space="preserve">, </w:t>
      </w:r>
      <w:r w:rsidR="005475D1">
        <w:rPr>
          <w:i/>
          <w:iCs/>
        </w:rPr>
        <w:t>r</w:t>
      </w:r>
      <w:r w:rsidR="005475D1">
        <w:t>) ∈ [−255, 255]</w:t>
      </w:r>
      <w:r w:rsidR="005475D1">
        <w:rPr>
          <w:vertAlign w:val="superscript"/>
        </w:rPr>
        <w:t>2</w:t>
      </w:r>
      <w:r w:rsidR="005475D1">
        <w:t xml:space="preserve"> are executed and compared with </w:t>
      </w:r>
      <w:r w:rsidR="005475D1">
        <w:lastRenderedPageBreak/>
        <w:t>an independently specified sign partition. The arm gateway’s pure angle mapper is evaluated for five accepted aliases over 451 inputs from −90 to 360, checking clamps and reversals. The elbow has two aliases, so this represe</w:t>
      </w:r>
      <w:r w:rsidR="005475D1">
        <w:t>nts four actuator channels. No ROS constructors, sockets, motor servers</w:t>
      </w:r>
      <w:r w:rsidR="005475D1">
        <w:t xml:space="preserve"> or hardware launchers are executed. Source hashes, settings, CSV outputs</w:t>
      </w:r>
      <w:r w:rsidR="005475D1">
        <w:t xml:space="preserve"> and validation records bind the results to the analyzed implementation.</w:t>
      </w:r>
    </w:p>
    <w:p w14:paraId="440F0F27" w14:textId="77777777" w:rsidR="00886181" w:rsidRDefault="005475D1">
      <w:pPr>
        <w:keepNext/>
        <w:spacing w:before="200" w:after="80"/>
        <w:jc w:val="center"/>
      </w:pPr>
      <w:r>
        <w:rPr>
          <w:smallCaps/>
        </w:rPr>
        <w:t>V. Results</w:t>
      </w:r>
    </w:p>
    <w:p w14:paraId="10C534AC" w14:textId="77777777" w:rsidR="00886181" w:rsidRDefault="005475D1">
      <w:pPr>
        <w:keepNext/>
        <w:spacing w:before="100" w:after="60"/>
      </w:pPr>
      <w:r>
        <w:rPr>
          <w:i/>
          <w:iCs/>
        </w:rPr>
        <w:t>A. Mission Handoffs</w:t>
      </w:r>
    </w:p>
    <w:p w14:paraId="7882545E" w14:textId="0A491E20" w:rsidR="00886181" w:rsidRDefault="005475D1">
      <w:pPr>
        <w:spacing w:after="60"/>
        <w:ind w:firstLine="200"/>
        <w:jc w:val="both"/>
      </w:pPr>
      <w:r>
        <w:t>The fu</w:t>
      </w:r>
      <w:r>
        <w:t>ll reference coordinator admits 0 contract-violating commands among 28,672 phase–observation pairs. All 7 phases are reachable</w:t>
      </w:r>
      <w:r>
        <w:t xml:space="preserve"> with 13 unique phase edges (including self-loops) and a shortest completion depth of 6 transitions. A separate 11-step nominal w</w:t>
      </w:r>
      <w:r>
        <w:t>itness exercises all 9 action types and reaches COMPLETE.</w:t>
      </w:r>
    </w:p>
    <w:p w14:paraId="3AEB8898" w14:textId="212E4DA9" w:rsidR="00886181" w:rsidRDefault="005475D1">
      <w:pPr>
        <w:spacing w:after="60"/>
        <w:ind w:firstLine="200"/>
        <w:jc w:val="both"/>
      </w:pPr>
      <w:r>
        <w:t>Removing the base–arm interlock produces 480 violating pairs; removing target authorization produces 128</w:t>
      </w:r>
      <w:r>
        <w:t xml:space="preserve"> and removing scan-age checks produces 288. Their shortest counterexample prefixes contain 1,</w:t>
      </w:r>
      <w:r>
        <w:t xml:space="preserve"> 2, and 1 </w:t>
      </w:r>
      <w:proofErr w:type="gramStart"/>
      <w:r>
        <w:t>observations</w:t>
      </w:r>
      <w:proofErr w:type="gramEnd"/>
      <w:r w:rsidR="006427C9">
        <w:t xml:space="preserve"> </w:t>
      </w:r>
      <w:r>
        <w:t>respectively. For example, the interlock ablation permits SEARCH rotation while the arm is not stowed. These counts demonstrate guard sensitivity over the enumerated domain</w:t>
      </w:r>
      <w:r w:rsidR="006427C9">
        <w:t xml:space="preserve"> and</w:t>
      </w:r>
      <w:r>
        <w:t xml:space="preserve"> they are not observed mission failure rates.</w:t>
      </w:r>
    </w:p>
    <w:p w14:paraId="78E3FF2A" w14:textId="77777777" w:rsidR="00886181" w:rsidRDefault="005475D1">
      <w:pPr>
        <w:keepNext/>
        <w:spacing w:before="100"/>
        <w:jc w:val="center"/>
      </w:pPr>
      <w:r>
        <w:rPr>
          <w:smallCaps/>
          <w:sz w:val="16"/>
          <w:szCs w:val="16"/>
        </w:rPr>
        <w:t>TABLE II</w:t>
      </w:r>
    </w:p>
    <w:p w14:paraId="5DC0E731" w14:textId="77777777" w:rsidR="00886181" w:rsidRDefault="005475D1">
      <w:pPr>
        <w:keepNext/>
        <w:spacing w:after="60"/>
        <w:jc w:val="center"/>
      </w:pPr>
      <w:r>
        <w:rPr>
          <w:smallCaps/>
          <w:sz w:val="16"/>
          <w:szCs w:val="16"/>
        </w:rPr>
        <w:t>Bounded Reference-Model Ablations</w:t>
      </w:r>
    </w:p>
    <w:tbl>
      <w:tblPr>
        <w:tblW w:w="4753"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1100"/>
        <w:gridCol w:w="1053"/>
      </w:tblGrid>
      <w:tr w:rsidR="00886181" w14:paraId="682F7CA5" w14:textId="77777777">
        <w:tblPrEx>
          <w:tblCellMar>
            <w:top w:w="0" w:type="dxa"/>
            <w:bottom w:w="0" w:type="dxa"/>
          </w:tblCellMar>
        </w:tblPrEx>
        <w:trPr>
          <w:tblHeader/>
        </w:trPr>
        <w:tc>
          <w:tcPr>
            <w:tcW w:w="26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4C72233C" w14:textId="77777777" w:rsidR="00886181" w:rsidRDefault="005475D1">
            <w:r>
              <w:rPr>
                <w:sz w:val="16"/>
                <w:szCs w:val="16"/>
              </w:rPr>
              <w:t>Reference policy</w:t>
            </w:r>
          </w:p>
        </w:tc>
        <w:tc>
          <w:tcPr>
            <w:tcW w:w="11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51BE85DE" w14:textId="77777777" w:rsidR="00886181" w:rsidRDefault="005475D1">
            <w:r>
              <w:rPr>
                <w:sz w:val="16"/>
                <w:szCs w:val="16"/>
              </w:rPr>
              <w:t>Violating pairs</w:t>
            </w:r>
          </w:p>
        </w:tc>
        <w:tc>
          <w:tcPr>
            <w:tcW w:w="1053"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15228405" w14:textId="77777777" w:rsidR="00886181" w:rsidRDefault="005475D1">
            <w:r>
              <w:rPr>
                <w:sz w:val="16"/>
                <w:szCs w:val="16"/>
              </w:rPr>
              <w:t>Prefix length</w:t>
            </w:r>
          </w:p>
        </w:tc>
      </w:tr>
      <w:tr w:rsidR="00886181" w14:paraId="39869FB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0CDB510" w14:textId="77777777" w:rsidR="00886181" w:rsidRDefault="005475D1">
            <w:r>
              <w:rPr>
                <w:sz w:val="16"/>
                <w:szCs w:val="16"/>
              </w:rPr>
              <w:t>All guards</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EA7E899" w14:textId="77777777" w:rsidR="00886181" w:rsidRDefault="005475D1">
            <w:pPr>
              <w:jc w:val="center"/>
            </w:pPr>
            <w:r>
              <w:rPr>
                <w:sz w:val="16"/>
                <w:szCs w:val="16"/>
              </w:rPr>
              <w:t>0</w:t>
            </w:r>
          </w:p>
        </w:tc>
        <w:tc>
          <w:tcPr>
            <w:tcW w:w="10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A9321DB" w14:textId="77777777" w:rsidR="00886181" w:rsidRDefault="005475D1">
            <w:pPr>
              <w:jc w:val="center"/>
            </w:pPr>
            <w:r>
              <w:rPr>
                <w:sz w:val="16"/>
                <w:szCs w:val="16"/>
              </w:rPr>
              <w:t>—</w:t>
            </w:r>
          </w:p>
        </w:tc>
      </w:tr>
      <w:tr w:rsidR="00886181" w14:paraId="13E61D0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CA9B1BA" w14:textId="77777777" w:rsidR="00886181" w:rsidRDefault="005475D1">
            <w:r>
              <w:rPr>
                <w:sz w:val="16"/>
                <w:szCs w:val="16"/>
              </w:rPr>
              <w:t>Without base–arm interlock</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51417A5" w14:textId="77777777" w:rsidR="00886181" w:rsidRDefault="005475D1">
            <w:pPr>
              <w:jc w:val="center"/>
            </w:pPr>
            <w:r>
              <w:rPr>
                <w:sz w:val="16"/>
                <w:szCs w:val="16"/>
              </w:rPr>
              <w:t>480</w:t>
            </w:r>
          </w:p>
        </w:tc>
        <w:tc>
          <w:tcPr>
            <w:tcW w:w="10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EDBDE26" w14:textId="77777777" w:rsidR="00886181" w:rsidRDefault="005475D1">
            <w:pPr>
              <w:jc w:val="center"/>
            </w:pPr>
            <w:r>
              <w:rPr>
                <w:sz w:val="16"/>
                <w:szCs w:val="16"/>
              </w:rPr>
              <w:t>1</w:t>
            </w:r>
          </w:p>
        </w:tc>
      </w:tr>
      <w:tr w:rsidR="00886181" w14:paraId="5D9A9EA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DF4DC2D" w14:textId="77777777" w:rsidR="00886181" w:rsidRDefault="005475D1">
            <w:r>
              <w:rPr>
                <w:sz w:val="16"/>
                <w:szCs w:val="16"/>
              </w:rPr>
              <w:t>Without target authorization</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5AF987E" w14:textId="77777777" w:rsidR="00886181" w:rsidRDefault="005475D1">
            <w:pPr>
              <w:jc w:val="center"/>
            </w:pPr>
            <w:r>
              <w:rPr>
                <w:sz w:val="16"/>
                <w:szCs w:val="16"/>
              </w:rPr>
              <w:t>128</w:t>
            </w:r>
          </w:p>
        </w:tc>
        <w:tc>
          <w:tcPr>
            <w:tcW w:w="10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C79F437" w14:textId="77777777" w:rsidR="00886181" w:rsidRDefault="005475D1">
            <w:pPr>
              <w:jc w:val="center"/>
            </w:pPr>
            <w:r>
              <w:rPr>
                <w:sz w:val="16"/>
                <w:szCs w:val="16"/>
              </w:rPr>
              <w:t>2</w:t>
            </w:r>
          </w:p>
        </w:tc>
      </w:tr>
      <w:tr w:rsidR="00886181" w14:paraId="4E11E09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FC60B46" w14:textId="77777777" w:rsidR="00886181" w:rsidRDefault="005475D1">
            <w:r>
              <w:rPr>
                <w:sz w:val="16"/>
                <w:szCs w:val="16"/>
              </w:rPr>
              <w:t>Without scan age</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BAB274A" w14:textId="77777777" w:rsidR="00886181" w:rsidRDefault="005475D1">
            <w:pPr>
              <w:jc w:val="center"/>
            </w:pPr>
            <w:r>
              <w:rPr>
                <w:sz w:val="16"/>
                <w:szCs w:val="16"/>
              </w:rPr>
              <w:t>288</w:t>
            </w:r>
          </w:p>
        </w:tc>
        <w:tc>
          <w:tcPr>
            <w:tcW w:w="10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00F17D4" w14:textId="77777777" w:rsidR="00886181" w:rsidRDefault="005475D1">
            <w:pPr>
              <w:jc w:val="center"/>
            </w:pPr>
            <w:r>
              <w:rPr>
                <w:sz w:val="16"/>
                <w:szCs w:val="16"/>
              </w:rPr>
              <w:t>1</w:t>
            </w:r>
          </w:p>
        </w:tc>
      </w:tr>
    </w:tbl>
    <w:p w14:paraId="1EE263D1" w14:textId="77777777" w:rsidR="00886181" w:rsidRDefault="005475D1">
      <w:pPr>
        <w:spacing w:before="40" w:after="120"/>
        <w:jc w:val="both"/>
      </w:pPr>
      <w:r>
        <w:rPr>
          <w:sz w:val="16"/>
          <w:szCs w:val="16"/>
        </w:rPr>
        <w:t>Each policy evaluates 28,672 pairs. Prefix length counts observations from SEARCH to the first violating output. Counts concern abstract command admissibility.</w:t>
      </w:r>
    </w:p>
    <w:p w14:paraId="6E1C03AB" w14:textId="77777777" w:rsidR="00886181" w:rsidRDefault="005475D1">
      <w:pPr>
        <w:keepNext/>
        <w:spacing w:before="100" w:after="60"/>
      </w:pPr>
      <w:r>
        <w:rPr>
          <w:i/>
          <w:iCs/>
        </w:rPr>
        <w:t>B. Geometric Envelope and Docking</w:t>
      </w:r>
    </w:p>
    <w:p w14:paraId="43C5A08C" w14:textId="63CA5955" w:rsidR="00886181" w:rsidRDefault="005475D1">
      <w:pPr>
        <w:spacing w:after="60"/>
        <w:ind w:firstLine="200"/>
        <w:jc w:val="both"/>
      </w:pPr>
      <w:r>
        <w:t>The 41</w:t>
      </w:r>
      <w:r>
        <w:rPr>
          <w:vertAlign w:val="superscript"/>
        </w:rPr>
        <w:t>3</w:t>
      </w:r>
      <w:r>
        <w:t xml:space="preserve"> grid contains 68,921 wrist configurations. The shoulder-to-wrist distance is bounded by the link sum, </w:t>
      </w:r>
      <w:r>
        <w:rPr>
          <w:i/>
          <w:iCs/>
        </w:rPr>
        <w:t>L</w:t>
      </w:r>
      <w:r>
        <w:rPr>
          <w:vertAlign w:val="subscript"/>
        </w:rPr>
        <w:t>1</w:t>
      </w:r>
      <w:r>
        <w:t xml:space="preserve"> + </w:t>
      </w:r>
      <w:r>
        <w:rPr>
          <w:i/>
          <w:iCs/>
        </w:rPr>
        <w:t>L</w:t>
      </w:r>
      <w:r>
        <w:rPr>
          <w:vertAlign w:val="subscript"/>
        </w:rPr>
        <w:t>2</w:t>
      </w:r>
      <w:r>
        <w:t xml:space="preserve"> = 0.200 m. The sampled wrist height spans −0.0316 to 0.3549 m in the base frame. Of the samples, 2,747 </w:t>
      </w:r>
      <w:proofErr w:type="gramStart"/>
      <w:r>
        <w:t>lie</w:t>
      </w:r>
      <w:proofErr w:type="gramEnd"/>
      <w:r>
        <w:t xml:space="preserve"> below the modeled </w:t>
      </w:r>
      <w:r>
        <w:rPr>
          <w:i/>
          <w:iCs/>
        </w:rPr>
        <w:t>z</w:t>
      </w:r>
      <w:r>
        <w:t xml:space="preserve"> = 0 ground plane and 66,174 lie on or above it. These counts are joint-grid counts</w:t>
      </w:r>
      <w:r>
        <w:t xml:space="preserve"> not Cartesian workspace volumes</w:t>
      </w:r>
      <w:r w:rsidR="00051D92">
        <w:t>.</w:t>
      </w:r>
      <w:r>
        <w:t xml:space="preserve"> </w:t>
      </w:r>
      <w:r w:rsidR="00051D92" w:rsidRPr="00051D92">
        <w:t>A sample above ground may still break rules about self-collision or stability.</w:t>
      </w:r>
    </w:p>
    <w:p w14:paraId="0FACE438" w14:textId="77777777" w:rsidR="00886181" w:rsidRDefault="005475D1">
      <w:pPr>
        <w:spacing w:after="60"/>
        <w:ind w:firstLine="200"/>
        <w:jc w:val="both"/>
      </w:pPr>
      <w:r>
        <w:t>Independent forward-kinematics implementations agree over 1,013 validation poses with maximum positional difference 6.8 × 10</w:t>
      </w:r>
      <w:r>
        <w:rPr>
          <w:vertAlign w:val="superscript"/>
        </w:rPr>
        <w:t>−17</w:t>
      </w:r>
      <w:r>
        <w:t xml:space="preserve"> m. This near-machine-precision agreement supports the ana</w:t>
      </w:r>
      <w:r>
        <w:t>lytical implementation, not mechanical accuracy. The actionable implication is that docking must use a calibrated contact workspace and target pose, rather than a generic visual stopping distance. The wrist envelope provides a reproducible geometric starti</w:t>
      </w:r>
      <w:r>
        <w:t>ng point for that calibration.</w:t>
      </w:r>
    </w:p>
    <w:p w14:paraId="76BBE526" w14:textId="77777777" w:rsidR="00886181" w:rsidRDefault="005475D1">
      <w:pPr>
        <w:keepNext/>
        <w:spacing w:before="100" w:after="60"/>
      </w:pPr>
      <w:r>
        <w:rPr>
          <w:i/>
          <w:iCs/>
        </w:rPr>
        <w:t>C. Wheel and Arm Command Semantics</w:t>
      </w:r>
    </w:p>
    <w:p w14:paraId="4CE5651F" w14:textId="77777777" w:rsidR="00051D92" w:rsidRDefault="005475D1">
      <w:pPr>
        <w:spacing w:after="60"/>
        <w:ind w:firstLine="200"/>
        <w:jc w:val="both"/>
      </w:pPr>
      <w:r>
        <w:t xml:space="preserve">All </w:t>
      </w:r>
      <w:proofErr w:type="gramStart"/>
      <w:r>
        <w:t>261,121 wheel</w:t>
      </w:r>
      <w:proofErr w:type="gramEnd"/>
      <w:r>
        <w:t xml:space="preserve"> input pairs match the independent sign partition. Each nonzero sign quadrant contains 65,025 pairs and produces one of four direction commands. Magnitudes within a quadrant</w:t>
      </w:r>
      <w:r>
        <w:t xml:space="preserve"> are discarded. </w:t>
      </w:r>
      <w:r w:rsidR="00051D92" w:rsidRPr="00051D92">
        <w:t>A single pair, (0, 0), sends a stop signal. The other 1,020 mixed-zero pairs do not send any new signals.</w:t>
      </w:r>
      <w:r>
        <w:t xml:space="preserve"> Thus, commanding one stationary wheel and one moving wheel through this branch does not produce </w:t>
      </w:r>
      <w:r>
        <w:t xml:space="preserve">the requested wheel pair. </w:t>
      </w:r>
      <w:r w:rsidR="00051D92" w:rsidRPr="00051D92">
        <w:t>Additionally, since the experiment records emitted messages rather than subsequent actuator behavior, no new command needs to be differentiated from a stop.</w:t>
      </w:r>
    </w:p>
    <w:p w14:paraId="01ADEE91" w14:textId="17652BE8" w:rsidR="00886181" w:rsidRDefault="005475D1">
      <w:pPr>
        <w:spacing w:after="60"/>
        <w:ind w:firstLine="200"/>
        <w:jc w:val="both"/>
      </w:pPr>
      <w:r>
        <w:t>This interface behavior directly qualifies Eq. 1. A continuous differential-drive command cannot be assumed to survive a direction-only gateway. Eit</w:t>
      </w:r>
      <w:r>
        <w:t>her the upstream controller must deliberately use discrete motion primitives</w:t>
      </w:r>
      <w:r>
        <w:t xml:space="preserve"> or the gateway and low-level control must preserve calibrated wheel-rate semantics. This is an integration requirement for controlled approach and docking, not a measured speed e</w:t>
      </w:r>
      <w:r>
        <w:t>rror.</w:t>
      </w:r>
    </w:p>
    <w:p w14:paraId="3F806DB3" w14:textId="77777777" w:rsidR="00B10F51" w:rsidRDefault="005475D1" w:rsidP="00051D92">
      <w:pPr>
        <w:spacing w:after="60"/>
        <w:ind w:firstLine="200"/>
        <w:jc w:val="both"/>
      </w:pPr>
      <w:r>
        <w:t>The arm mapping matches an independent clamp/reversal specification for all 2,255 evaluated cases. Base commands retain direction, shoulder and elbow conventions are reversed</w:t>
      </w:r>
      <w:r>
        <w:t xml:space="preserve"> and the gripper uses its declared command range. These are software comman</w:t>
      </w:r>
      <w:r>
        <w:t xml:space="preserve">d conventions; translating them to the modeled joint angles requires physical calibration. </w:t>
      </w:r>
      <w:r w:rsidR="00051D92" w:rsidRPr="00051D92">
        <w:t>All 29 characterization checks are successful in terms of geometry, wheel semantics, arm mapping and schema extraction.</w:t>
      </w:r>
      <w:r w:rsidR="00051D92">
        <w:t xml:space="preserve"> </w:t>
      </w:r>
      <w:r w:rsidR="00051D92" w:rsidRPr="00051D92">
        <w:t>The surrogate task configuration is confirmed by the two named classes of the current detector; no recognition score is deduced from those labels.</w:t>
      </w:r>
    </w:p>
    <w:p w14:paraId="59E738E8" w14:textId="77777777" w:rsidR="00B10F51" w:rsidRDefault="00B10F51" w:rsidP="00051D92">
      <w:pPr>
        <w:spacing w:after="60"/>
        <w:ind w:firstLine="200"/>
        <w:jc w:val="both"/>
      </w:pPr>
    </w:p>
    <w:p w14:paraId="5F3CDD32" w14:textId="3CFD3BAD" w:rsidR="00886181" w:rsidRDefault="005475D1" w:rsidP="00051D92">
      <w:pPr>
        <w:spacing w:after="60"/>
        <w:ind w:firstLine="200"/>
        <w:jc w:val="both"/>
      </w:pPr>
      <w:r>
        <w:rPr>
          <w:smallCaps/>
        </w:rPr>
        <w:t>VI. Discussion and Application Development</w:t>
      </w:r>
    </w:p>
    <w:p w14:paraId="3CFEA2F1" w14:textId="167F0D0D" w:rsidR="00886181" w:rsidRDefault="005475D1">
      <w:pPr>
        <w:spacing w:after="60"/>
        <w:ind w:firstLine="200"/>
        <w:jc w:val="both"/>
      </w:pPr>
      <w:r>
        <w:t>The architecture connects object retrieval through explicit subsystem evidence: vision proposes a candidate, task authority permits hand</w:t>
      </w:r>
      <w:r>
        <w:t>ling, navigation establishes a pickup region, the base confirms rest</w:t>
      </w:r>
      <w:r>
        <w:t xml:space="preserve"> and manipulation confirms grip and release. The mission model exposes these obligations where hardware feedback remains to be developed. Its nominal trace demonstrates logical progress u</w:t>
      </w:r>
      <w:r>
        <w:t>nder stated assumptions, while source analysis identifies what the actuator gateway can express.</w:t>
      </w:r>
    </w:p>
    <w:p w14:paraId="0FBDD5AA" w14:textId="77777777" w:rsidR="00886181" w:rsidRDefault="005475D1">
      <w:pPr>
        <w:keepNext/>
        <w:spacing w:before="100"/>
        <w:jc w:val="center"/>
      </w:pPr>
      <w:r>
        <w:rPr>
          <w:smallCaps/>
          <w:sz w:val="16"/>
          <w:szCs w:val="16"/>
        </w:rPr>
        <w:t>TABLE III</w:t>
      </w:r>
    </w:p>
    <w:p w14:paraId="00BA93A2" w14:textId="77777777" w:rsidR="00886181" w:rsidRDefault="005475D1">
      <w:pPr>
        <w:keepNext/>
        <w:spacing w:after="60"/>
        <w:jc w:val="center"/>
      </w:pPr>
      <w:r>
        <w:rPr>
          <w:smallCaps/>
          <w:sz w:val="16"/>
          <w:szCs w:val="16"/>
        </w:rPr>
        <w:t>Reproducible Characterization Results</w:t>
      </w:r>
    </w:p>
    <w:tbl>
      <w:tblPr>
        <w:tblW w:w="4753"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00"/>
        <w:gridCol w:w="1653"/>
      </w:tblGrid>
      <w:tr w:rsidR="00886181" w14:paraId="11DB7CE0" w14:textId="77777777">
        <w:tblPrEx>
          <w:tblCellMar>
            <w:top w:w="0" w:type="dxa"/>
            <w:bottom w:w="0" w:type="dxa"/>
          </w:tblCellMar>
        </w:tblPrEx>
        <w:trPr>
          <w:tblHeader/>
        </w:trPr>
        <w:tc>
          <w:tcPr>
            <w:tcW w:w="31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10BE5C29" w14:textId="77777777" w:rsidR="00886181" w:rsidRDefault="005475D1">
            <w:r>
              <w:rPr>
                <w:sz w:val="16"/>
                <w:szCs w:val="16"/>
              </w:rPr>
              <w:t>Quantity</w:t>
            </w:r>
          </w:p>
        </w:tc>
        <w:tc>
          <w:tcPr>
            <w:tcW w:w="1653"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71E24E1C" w14:textId="77777777" w:rsidR="00886181" w:rsidRDefault="005475D1">
            <w:r>
              <w:rPr>
                <w:sz w:val="16"/>
                <w:szCs w:val="16"/>
              </w:rPr>
              <w:t>Computed result</w:t>
            </w:r>
          </w:p>
        </w:tc>
      </w:tr>
      <w:tr w:rsidR="00886181" w14:paraId="1603034C"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C526070" w14:textId="77777777" w:rsidR="00886181" w:rsidRDefault="005475D1">
            <w:r>
              <w:rPr>
                <w:sz w:val="16"/>
                <w:szCs w:val="16"/>
              </w:rPr>
              <w:t>Joint-grid wrist poses</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F4A71F7" w14:textId="77777777" w:rsidR="00886181" w:rsidRDefault="005475D1">
            <w:r>
              <w:rPr>
                <w:sz w:val="16"/>
                <w:szCs w:val="16"/>
              </w:rPr>
              <w:t>68,921</w:t>
            </w:r>
          </w:p>
        </w:tc>
      </w:tr>
      <w:tr w:rsidR="00886181" w14:paraId="6879AD41"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A24A1D" w14:textId="77777777" w:rsidR="00886181" w:rsidRDefault="005475D1">
            <w:r>
              <w:rPr>
                <w:sz w:val="16"/>
                <w:szCs w:val="16"/>
              </w:rPr>
              <w:t>Modeled shoulder–wrist bound</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901E34C" w14:textId="77777777" w:rsidR="00886181" w:rsidRDefault="005475D1">
            <w:r>
              <w:rPr>
                <w:sz w:val="16"/>
                <w:szCs w:val="16"/>
              </w:rPr>
              <w:t>0.200 m</w:t>
            </w:r>
          </w:p>
        </w:tc>
      </w:tr>
      <w:tr w:rsidR="00886181" w14:paraId="57B28661"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EF87DDE" w14:textId="77777777" w:rsidR="00886181" w:rsidRDefault="005475D1">
            <w:r>
              <w:rPr>
                <w:sz w:val="16"/>
                <w:szCs w:val="16"/>
              </w:rPr>
              <w:t>Poses below modeled ground</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E016CAA" w14:textId="77777777" w:rsidR="00886181" w:rsidRDefault="005475D1">
            <w:r>
              <w:rPr>
                <w:sz w:val="16"/>
                <w:szCs w:val="16"/>
              </w:rPr>
              <w:t>2,747</w:t>
            </w:r>
          </w:p>
        </w:tc>
      </w:tr>
      <w:tr w:rsidR="00886181" w14:paraId="7E4A08CB"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6DA2228" w14:textId="77777777" w:rsidR="00886181" w:rsidRDefault="005475D1">
            <w:r>
              <w:rPr>
                <w:sz w:val="16"/>
                <w:szCs w:val="16"/>
              </w:rPr>
              <w:t>Independent FK validation poses</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95D6074" w14:textId="77777777" w:rsidR="00886181" w:rsidRDefault="005475D1">
            <w:r>
              <w:rPr>
                <w:sz w:val="16"/>
                <w:szCs w:val="16"/>
              </w:rPr>
              <w:t>1,013</w:t>
            </w:r>
          </w:p>
        </w:tc>
      </w:tr>
      <w:tr w:rsidR="00886181" w14:paraId="3B126B69"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9405EF6" w14:textId="77777777" w:rsidR="00886181" w:rsidRDefault="005475D1">
            <w:r>
              <w:rPr>
                <w:sz w:val="16"/>
                <w:szCs w:val="16"/>
              </w:rPr>
              <w:t>Exhaustive wheel input pairs</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587F017" w14:textId="77777777" w:rsidR="00886181" w:rsidRDefault="005475D1">
            <w:r>
              <w:rPr>
                <w:sz w:val="16"/>
                <w:szCs w:val="16"/>
              </w:rPr>
              <w:t>261,121</w:t>
            </w:r>
          </w:p>
        </w:tc>
      </w:tr>
      <w:tr w:rsidR="00886181" w14:paraId="41008B28"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CAF78CE" w14:textId="77777777" w:rsidR="00886181" w:rsidRDefault="005475D1">
            <w:r>
              <w:rPr>
                <w:sz w:val="16"/>
                <w:szCs w:val="16"/>
              </w:rPr>
              <w:t>Mixed-zero pairs with no command</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2BA52A1" w14:textId="77777777" w:rsidR="00886181" w:rsidRDefault="005475D1">
            <w:r>
              <w:rPr>
                <w:sz w:val="16"/>
                <w:szCs w:val="16"/>
              </w:rPr>
              <w:t>1,020</w:t>
            </w:r>
          </w:p>
        </w:tc>
      </w:tr>
      <w:tr w:rsidR="00886181" w14:paraId="24CE1ED4"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CE75EDD" w14:textId="77777777" w:rsidR="00886181" w:rsidRDefault="005475D1">
            <w:r>
              <w:rPr>
                <w:sz w:val="16"/>
                <w:szCs w:val="16"/>
              </w:rPr>
              <w:t>Arm mapping cases / physical channels</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32F3341" w14:textId="77777777" w:rsidR="00886181" w:rsidRDefault="005475D1">
            <w:r>
              <w:rPr>
                <w:sz w:val="16"/>
                <w:szCs w:val="16"/>
              </w:rPr>
              <w:t>2,255 / 4</w:t>
            </w:r>
          </w:p>
        </w:tc>
      </w:tr>
      <w:tr w:rsidR="00886181" w14:paraId="301804E2"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281792B" w14:textId="77777777" w:rsidR="00886181" w:rsidRDefault="005475D1">
            <w:r>
              <w:rPr>
                <w:sz w:val="16"/>
                <w:szCs w:val="16"/>
              </w:rPr>
              <w:t>Characterization checks passed</w:t>
            </w:r>
          </w:p>
        </w:tc>
        <w:tc>
          <w:tcPr>
            <w:tcW w:w="165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122B69" w14:textId="77777777" w:rsidR="00886181" w:rsidRDefault="005475D1">
            <w:r>
              <w:rPr>
                <w:sz w:val="16"/>
                <w:szCs w:val="16"/>
              </w:rPr>
              <w:t>29 / 29</w:t>
            </w:r>
          </w:p>
        </w:tc>
      </w:tr>
    </w:tbl>
    <w:p w14:paraId="24800C3F" w14:textId="77777777" w:rsidR="00886181" w:rsidRDefault="00886181">
      <w:pPr>
        <w:spacing w:after="60"/>
      </w:pPr>
    </w:p>
    <w:p w14:paraId="5F62A4ED" w14:textId="127E9CDC" w:rsidR="00886181" w:rsidRDefault="005475D1">
      <w:pPr>
        <w:spacing w:after="60"/>
        <w:ind w:firstLine="200"/>
        <w:jc w:val="both"/>
      </w:pPr>
      <w:r>
        <w:t>The next application step is to instantiate these observations with measured quantities. This requires a task-specific visual dataset and held-out recognition results; calibrated camera–LiDAR–arm frames and contact geometry; feedback for base rest, grip</w:t>
      </w:r>
      <w:r w:rsidR="00B10F51">
        <w:t xml:space="preserve"> </w:t>
      </w:r>
      <w:r>
        <w:t>a</w:t>
      </w:r>
      <w:r>
        <w:t>nd release</w:t>
      </w:r>
      <w:r>
        <w:t xml:space="preserve"> </w:t>
      </w:r>
      <w:r w:rsidR="00B10F51">
        <w:t>as well as</w:t>
      </w:r>
      <w:r>
        <w:t xml:space="preserve"> timed physical runs covering navigation, pickup, transport, and deposit. Sensor-age limits must follow measured acquisition and transport behavior. Force, payload, containment</w:t>
      </w:r>
      <w:r>
        <w:t xml:space="preserve"> and environmental compatibility must be evaluated for the desig</w:t>
      </w:r>
      <w:r>
        <w:t>nated object class. A general RGB category detector cannot establish an unknown material’s hazardous properties.</w:t>
      </w:r>
    </w:p>
    <w:p w14:paraId="665E0258" w14:textId="7EAED4B4" w:rsidR="00886181" w:rsidRDefault="005475D1">
      <w:pPr>
        <w:spacing w:after="60"/>
        <w:ind w:firstLine="200"/>
        <w:jc w:val="both"/>
      </w:pPr>
      <w:r>
        <w:t xml:space="preserve">The results establish source and model properties; </w:t>
      </w:r>
      <w:r w:rsidR="00B10F51" w:rsidRPr="00B10F51">
        <w:t>application trials are necessary for physical obstacle avoidance and hazardous-environment suitability</w:t>
      </w:r>
      <w:r>
        <w:t xml:space="preserve">. </w:t>
      </w:r>
      <w:r>
        <w:lastRenderedPageBreak/>
        <w:t>Nonhazardous surrogates support the initial benchmark, followed by object</w:t>
      </w:r>
      <w:r>
        <w:t xml:space="preserve"> and environment-specific qualification as illustrated by prior systems [1], [2].</w:t>
      </w:r>
    </w:p>
    <w:p w14:paraId="3F8CD98A" w14:textId="77777777" w:rsidR="00886181" w:rsidRDefault="005475D1">
      <w:pPr>
        <w:keepNext/>
        <w:spacing w:before="200" w:after="80"/>
        <w:jc w:val="center"/>
      </w:pPr>
      <w:r>
        <w:rPr>
          <w:smallCaps/>
        </w:rPr>
        <w:t>VII. Conclusion</w:t>
      </w:r>
    </w:p>
    <w:p w14:paraId="1982485F" w14:textId="77777777" w:rsidR="00886181" w:rsidRDefault="005475D1">
      <w:pPr>
        <w:spacing w:after="60"/>
        <w:ind w:firstLine="200"/>
        <w:jc w:val="both"/>
      </w:pPr>
      <w:proofErr w:type="spellStart"/>
      <w:r>
        <w:t>HazBot</w:t>
      </w:r>
      <w:proofErr w:type="spellEnd"/>
      <w:r>
        <w:t xml:space="preserve"> connects navigation, wheel control, native visual inference, and manipulati</w:t>
      </w:r>
      <w:r>
        <w:t>on through a Raspberry Pi-centered architecture. Its seven-phase reference mission formalizes retrieval handoffs, while reproducible geometry and gateway analysis expose docking constraints, magnitude reduction, and mixed-zero command omissions. These arti</w:t>
      </w:r>
      <w:r>
        <w:t>facts provide an implementation-grounded basis for task-specific hazardous-object retrieval and subsequent physical evaluation.</w:t>
      </w:r>
    </w:p>
    <w:p w14:paraId="361F11B2" w14:textId="77777777" w:rsidR="00886181" w:rsidRDefault="005475D1">
      <w:pPr>
        <w:keepNext/>
        <w:spacing w:before="200" w:after="80"/>
        <w:jc w:val="center"/>
      </w:pPr>
      <w:r>
        <w:rPr>
          <w:smallCaps/>
        </w:rPr>
        <w:t>Acknowledgment</w:t>
      </w:r>
    </w:p>
    <w:p w14:paraId="60F6A172" w14:textId="1B7BF802" w:rsidR="00886181" w:rsidRDefault="005475D1">
      <w:pPr>
        <w:spacing w:after="60"/>
        <w:ind w:firstLine="200"/>
        <w:jc w:val="both"/>
      </w:pPr>
      <w:r>
        <w:t>The authors acknowledge the ROS 2, Nav2</w:t>
      </w:r>
      <w:r>
        <w:t xml:space="preserve"> and open-source robotics communities for their publicly available softwa</w:t>
      </w:r>
      <w:r>
        <w:t xml:space="preserve">re and technical documentation. </w:t>
      </w:r>
      <w:proofErr w:type="spellStart"/>
      <w:r>
        <w:t>ChatGPT</w:t>
      </w:r>
      <w:proofErr w:type="spellEnd"/>
      <w:r>
        <w:t xml:space="preserve">, a large language model developed by </w:t>
      </w:r>
      <w:proofErr w:type="spellStart"/>
      <w:r>
        <w:t>OpenAI</w:t>
      </w:r>
      <w:proofErr w:type="spellEnd"/>
      <w:r>
        <w:t>, assisted literature discovery and synthesis, study design, code development, analysis, manuscript drafting</w:t>
      </w:r>
      <w:r>
        <w:t xml:space="preserve"> and editing. The authors are responsible for reviewing and appr</w:t>
      </w:r>
      <w:r>
        <w:t>oving the content and for the accuracy and integrity of the submitted work.</w:t>
      </w:r>
    </w:p>
    <w:p w14:paraId="709C6CB3" w14:textId="77777777" w:rsidR="00886181" w:rsidRDefault="005475D1">
      <w:pPr>
        <w:keepNext/>
        <w:spacing w:before="200" w:after="80"/>
        <w:jc w:val="center"/>
      </w:pPr>
      <w:r>
        <w:rPr>
          <w:smallCaps/>
        </w:rPr>
        <w:t>References</w:t>
      </w:r>
    </w:p>
    <w:p w14:paraId="3C030A82" w14:textId="77777777" w:rsidR="00886181" w:rsidRDefault="005475D1">
      <w:pPr>
        <w:spacing w:after="40"/>
        <w:ind w:left="360" w:hanging="360"/>
      </w:pPr>
      <w:r>
        <w:rPr>
          <w:sz w:val="16"/>
          <w:szCs w:val="16"/>
        </w:rPr>
        <w:t xml:space="preserve">[1] B. Bird, M. </w:t>
      </w:r>
      <w:proofErr w:type="spellStart"/>
      <w:r>
        <w:rPr>
          <w:sz w:val="16"/>
          <w:szCs w:val="16"/>
        </w:rPr>
        <w:t>Nancekievill</w:t>
      </w:r>
      <w:proofErr w:type="spellEnd"/>
      <w:r>
        <w:rPr>
          <w:sz w:val="16"/>
          <w:szCs w:val="16"/>
        </w:rPr>
        <w:t>, A. West, J. Hayman, C. Ballard, W. Jones, S. Ross, T. Wild, T. Scott, and B. Lennox, “Vega—a small, low cost, ground robot for nuclear deco</w:t>
      </w:r>
      <w:r>
        <w:rPr>
          <w:sz w:val="16"/>
          <w:szCs w:val="16"/>
        </w:rPr>
        <w:t xml:space="preserve">mmissioning,” </w:t>
      </w:r>
      <w:r>
        <w:rPr>
          <w:i/>
          <w:iCs/>
          <w:sz w:val="16"/>
          <w:szCs w:val="16"/>
        </w:rPr>
        <w:t>Journal of Field Robotics</w:t>
      </w:r>
      <w:r>
        <w:rPr>
          <w:sz w:val="16"/>
          <w:szCs w:val="16"/>
        </w:rPr>
        <w:t>, vol. 39, no. 3, pp. 232–245, 2022. [Online]. Available: https://onlinelibrary.wiley.com/doi/full/10.1002/rob.22048</w:t>
      </w:r>
    </w:p>
    <w:p w14:paraId="5BB70440" w14:textId="77777777" w:rsidR="00886181" w:rsidRDefault="005475D1">
      <w:pPr>
        <w:spacing w:after="40"/>
        <w:ind w:left="360" w:hanging="360"/>
      </w:pPr>
      <w:r>
        <w:rPr>
          <w:sz w:val="16"/>
          <w:szCs w:val="16"/>
        </w:rPr>
        <w:t xml:space="preserve">[2] C. C. Kemp, A. </w:t>
      </w:r>
      <w:proofErr w:type="spellStart"/>
      <w:r>
        <w:rPr>
          <w:sz w:val="16"/>
          <w:szCs w:val="16"/>
        </w:rPr>
        <w:t>Edsinger</w:t>
      </w:r>
      <w:proofErr w:type="spellEnd"/>
      <w:r>
        <w:rPr>
          <w:sz w:val="16"/>
          <w:szCs w:val="16"/>
        </w:rPr>
        <w:t xml:space="preserve">, H. M. Clever, and B. </w:t>
      </w:r>
      <w:proofErr w:type="spellStart"/>
      <w:r>
        <w:rPr>
          <w:sz w:val="16"/>
          <w:szCs w:val="16"/>
        </w:rPr>
        <w:t>Matulevich</w:t>
      </w:r>
      <w:proofErr w:type="spellEnd"/>
      <w:r>
        <w:rPr>
          <w:sz w:val="16"/>
          <w:szCs w:val="16"/>
        </w:rPr>
        <w:t>, “The design of Stretch: A compact, lig</w:t>
      </w:r>
      <w:r>
        <w:rPr>
          <w:sz w:val="16"/>
          <w:szCs w:val="16"/>
        </w:rPr>
        <w:t xml:space="preserve">htweight mobile manipulator for indoor human environments,” in </w:t>
      </w:r>
      <w:r>
        <w:rPr>
          <w:i/>
          <w:iCs/>
          <w:sz w:val="16"/>
          <w:szCs w:val="16"/>
        </w:rPr>
        <w:t>2022 International Conference on Robotics and Automation (ICRA)</w:t>
      </w:r>
      <w:r>
        <w:rPr>
          <w:sz w:val="16"/>
          <w:szCs w:val="16"/>
        </w:rPr>
        <w:t>, 2022, pp. 3150–3157. [Online]. Available: https://arxiv.org/abs/2109.10892</w:t>
      </w:r>
    </w:p>
    <w:p w14:paraId="172B0217" w14:textId="77777777" w:rsidR="00886181" w:rsidRDefault="005475D1">
      <w:pPr>
        <w:spacing w:after="40"/>
        <w:ind w:left="360" w:hanging="360"/>
      </w:pPr>
      <w:r>
        <w:rPr>
          <w:sz w:val="16"/>
          <w:szCs w:val="16"/>
        </w:rPr>
        <w:t xml:space="preserve">[3] S. </w:t>
      </w:r>
      <w:proofErr w:type="spellStart"/>
      <w:r>
        <w:rPr>
          <w:sz w:val="16"/>
          <w:szCs w:val="16"/>
        </w:rPr>
        <w:t>Yenamandra</w:t>
      </w:r>
      <w:proofErr w:type="spellEnd"/>
      <w:r>
        <w:rPr>
          <w:sz w:val="16"/>
          <w:szCs w:val="16"/>
        </w:rPr>
        <w:t>, A. Ramachandran, K. Yadav, A. S. W</w:t>
      </w:r>
      <w:r>
        <w:rPr>
          <w:sz w:val="16"/>
          <w:szCs w:val="16"/>
        </w:rPr>
        <w:t xml:space="preserve">ang, M. Khanna, T. </w:t>
      </w:r>
      <w:proofErr w:type="spellStart"/>
      <w:r>
        <w:rPr>
          <w:sz w:val="16"/>
          <w:szCs w:val="16"/>
        </w:rPr>
        <w:t>Gervet</w:t>
      </w:r>
      <w:proofErr w:type="spellEnd"/>
      <w:r>
        <w:rPr>
          <w:sz w:val="16"/>
          <w:szCs w:val="16"/>
        </w:rPr>
        <w:t xml:space="preserve">, T.-Y. Yang, V. Jain, A. Clegg, J. M. Turner, Z. Kira, M. Savva, A. X. Chang, D. S. </w:t>
      </w:r>
      <w:proofErr w:type="spellStart"/>
      <w:r>
        <w:rPr>
          <w:sz w:val="16"/>
          <w:szCs w:val="16"/>
        </w:rPr>
        <w:t>Chaplot</w:t>
      </w:r>
      <w:proofErr w:type="spellEnd"/>
      <w:r>
        <w:rPr>
          <w:sz w:val="16"/>
          <w:szCs w:val="16"/>
        </w:rPr>
        <w:t xml:space="preserve">, D. Batra, R. </w:t>
      </w:r>
      <w:proofErr w:type="spellStart"/>
      <w:r>
        <w:rPr>
          <w:sz w:val="16"/>
          <w:szCs w:val="16"/>
        </w:rPr>
        <w:t>Mottaghi</w:t>
      </w:r>
      <w:proofErr w:type="spellEnd"/>
      <w:r>
        <w:rPr>
          <w:sz w:val="16"/>
          <w:szCs w:val="16"/>
        </w:rPr>
        <w:t>, Y. Bisk, and C. Paxton, “</w:t>
      </w:r>
      <w:proofErr w:type="spellStart"/>
      <w:r>
        <w:rPr>
          <w:sz w:val="16"/>
          <w:szCs w:val="16"/>
        </w:rPr>
        <w:t>HomeRobot</w:t>
      </w:r>
      <w:proofErr w:type="spellEnd"/>
      <w:r>
        <w:rPr>
          <w:sz w:val="16"/>
          <w:szCs w:val="16"/>
        </w:rPr>
        <w:t xml:space="preserve">: Open-vocabulary mobile manipulation,” in </w:t>
      </w:r>
      <w:r>
        <w:rPr>
          <w:i/>
          <w:iCs/>
          <w:sz w:val="16"/>
          <w:szCs w:val="16"/>
        </w:rPr>
        <w:t xml:space="preserve">Proceedings of the 7th Conference on </w:t>
      </w:r>
      <w:r>
        <w:rPr>
          <w:i/>
          <w:iCs/>
          <w:sz w:val="16"/>
          <w:szCs w:val="16"/>
        </w:rPr>
        <w:t>Robot Learning</w:t>
      </w:r>
      <w:r>
        <w:rPr>
          <w:sz w:val="16"/>
          <w:szCs w:val="16"/>
        </w:rPr>
        <w:t>, ser. Proceedings of Machine Learning Research, vol. 229. PMLR, 2023, pp. 1975–2011. [Online]. Available: https://proceedings.mlr.press/v229/yenamandra23a.html</w:t>
      </w:r>
    </w:p>
    <w:p w14:paraId="67FBE2FA" w14:textId="77777777" w:rsidR="00886181" w:rsidRDefault="005475D1">
      <w:pPr>
        <w:spacing w:after="40"/>
        <w:ind w:left="360" w:hanging="360"/>
      </w:pPr>
      <w:r>
        <w:rPr>
          <w:sz w:val="16"/>
          <w:szCs w:val="16"/>
        </w:rPr>
        <w:t xml:space="preserve">[4] S. </w:t>
      </w:r>
      <w:proofErr w:type="spellStart"/>
      <w:r>
        <w:rPr>
          <w:sz w:val="16"/>
          <w:szCs w:val="16"/>
        </w:rPr>
        <w:t>Macenski</w:t>
      </w:r>
      <w:proofErr w:type="spellEnd"/>
      <w:r>
        <w:rPr>
          <w:sz w:val="16"/>
          <w:szCs w:val="16"/>
        </w:rPr>
        <w:t xml:space="preserve">, T. Foote, B. </w:t>
      </w:r>
      <w:proofErr w:type="spellStart"/>
      <w:r>
        <w:rPr>
          <w:sz w:val="16"/>
          <w:szCs w:val="16"/>
        </w:rPr>
        <w:t>Gerkey</w:t>
      </w:r>
      <w:proofErr w:type="spellEnd"/>
      <w:r>
        <w:rPr>
          <w:sz w:val="16"/>
          <w:szCs w:val="16"/>
        </w:rPr>
        <w:t xml:space="preserve">, C. </w:t>
      </w:r>
      <w:proofErr w:type="spellStart"/>
      <w:r>
        <w:rPr>
          <w:sz w:val="16"/>
          <w:szCs w:val="16"/>
        </w:rPr>
        <w:t>Lalancette</w:t>
      </w:r>
      <w:proofErr w:type="spellEnd"/>
      <w:r>
        <w:rPr>
          <w:sz w:val="16"/>
          <w:szCs w:val="16"/>
        </w:rPr>
        <w:t xml:space="preserve">, and W. Woodall, “Robot operating system 2: Design, architecture, and uses in the wild,” </w:t>
      </w:r>
      <w:r>
        <w:rPr>
          <w:i/>
          <w:iCs/>
          <w:sz w:val="16"/>
          <w:szCs w:val="16"/>
        </w:rPr>
        <w:t>Science Robotics</w:t>
      </w:r>
      <w:r>
        <w:rPr>
          <w:sz w:val="16"/>
          <w:szCs w:val="16"/>
        </w:rPr>
        <w:t>, vol. 7, no. 66, p. eabm6074, 2022. [Online]. Available: https://arxiv.org/abs/2211.07752</w:t>
      </w:r>
    </w:p>
    <w:p w14:paraId="453F7A9E" w14:textId="77777777" w:rsidR="00886181" w:rsidRDefault="005475D1">
      <w:pPr>
        <w:spacing w:after="40"/>
        <w:ind w:left="360" w:hanging="360"/>
      </w:pPr>
      <w:r>
        <w:rPr>
          <w:sz w:val="16"/>
          <w:szCs w:val="16"/>
        </w:rPr>
        <w:t xml:space="preserve">[5] S. </w:t>
      </w:r>
      <w:proofErr w:type="spellStart"/>
      <w:r>
        <w:rPr>
          <w:sz w:val="16"/>
          <w:szCs w:val="16"/>
        </w:rPr>
        <w:t>M</w:t>
      </w:r>
      <w:r>
        <w:rPr>
          <w:sz w:val="16"/>
          <w:szCs w:val="16"/>
        </w:rPr>
        <w:t>acenski</w:t>
      </w:r>
      <w:proofErr w:type="spellEnd"/>
      <w:r>
        <w:rPr>
          <w:sz w:val="16"/>
          <w:szCs w:val="16"/>
        </w:rPr>
        <w:t xml:space="preserve">, F. Martín, R. White, and J. </w:t>
      </w:r>
      <w:proofErr w:type="spellStart"/>
      <w:r>
        <w:rPr>
          <w:sz w:val="16"/>
          <w:szCs w:val="16"/>
        </w:rPr>
        <w:t>Ginés</w:t>
      </w:r>
      <w:proofErr w:type="spellEnd"/>
      <w:r>
        <w:rPr>
          <w:sz w:val="16"/>
          <w:szCs w:val="16"/>
        </w:rPr>
        <w:t xml:space="preserve"> </w:t>
      </w:r>
      <w:proofErr w:type="spellStart"/>
      <w:r>
        <w:rPr>
          <w:sz w:val="16"/>
          <w:szCs w:val="16"/>
        </w:rPr>
        <w:t>Clavero</w:t>
      </w:r>
      <w:proofErr w:type="spellEnd"/>
      <w:r>
        <w:rPr>
          <w:sz w:val="16"/>
          <w:szCs w:val="16"/>
        </w:rPr>
        <w:t xml:space="preserve">, “The marathon 2: A navigation system,” in </w:t>
      </w:r>
      <w:r>
        <w:rPr>
          <w:i/>
          <w:iCs/>
          <w:sz w:val="16"/>
          <w:szCs w:val="16"/>
        </w:rPr>
        <w:t>2020 IEEE/RSJ International Conference on Intelligent Robots and Systems (IROS)</w:t>
      </w:r>
      <w:r>
        <w:rPr>
          <w:sz w:val="16"/>
          <w:szCs w:val="16"/>
        </w:rPr>
        <w:t>, 2020, pp. 2718–2725. [Online]. Available: https://arxiv.org/abs/2003.00368</w:t>
      </w:r>
    </w:p>
    <w:p w14:paraId="2F4FEB85" w14:textId="77777777" w:rsidR="00886181" w:rsidRDefault="005475D1">
      <w:pPr>
        <w:spacing w:after="40"/>
        <w:ind w:left="360" w:hanging="360"/>
      </w:pPr>
      <w:r>
        <w:rPr>
          <w:sz w:val="16"/>
          <w:szCs w:val="16"/>
        </w:rPr>
        <w:t>[6] S.</w:t>
      </w:r>
      <w:r>
        <w:rPr>
          <w:sz w:val="16"/>
          <w:szCs w:val="16"/>
        </w:rPr>
        <w:t xml:space="preserve"> </w:t>
      </w:r>
      <w:proofErr w:type="spellStart"/>
      <w:r>
        <w:rPr>
          <w:sz w:val="16"/>
          <w:szCs w:val="16"/>
        </w:rPr>
        <w:t>Macenski</w:t>
      </w:r>
      <w:proofErr w:type="spellEnd"/>
      <w:r>
        <w:rPr>
          <w:sz w:val="16"/>
          <w:szCs w:val="16"/>
        </w:rPr>
        <w:t xml:space="preserve"> and I. </w:t>
      </w:r>
      <w:proofErr w:type="spellStart"/>
      <w:r>
        <w:rPr>
          <w:sz w:val="16"/>
          <w:szCs w:val="16"/>
        </w:rPr>
        <w:t>Jambrecic</w:t>
      </w:r>
      <w:proofErr w:type="spellEnd"/>
      <w:r>
        <w:rPr>
          <w:sz w:val="16"/>
          <w:szCs w:val="16"/>
        </w:rPr>
        <w:t xml:space="preserve">, “SLAM Toolbox: SLAM for the dynamic world,” </w:t>
      </w:r>
      <w:r>
        <w:rPr>
          <w:i/>
          <w:iCs/>
          <w:sz w:val="16"/>
          <w:szCs w:val="16"/>
        </w:rPr>
        <w:t>Journal of Open Source Software</w:t>
      </w:r>
      <w:r>
        <w:rPr>
          <w:sz w:val="16"/>
          <w:szCs w:val="16"/>
        </w:rPr>
        <w:t>, vol. 6, no. 61, p. 2783, 2021. [Online]. Available: https://joss.theoj.org/papers/10.21105/joss.02783</w:t>
      </w:r>
    </w:p>
    <w:p w14:paraId="280B2B47" w14:textId="77777777" w:rsidR="00886181" w:rsidRDefault="005475D1">
      <w:pPr>
        <w:spacing w:after="40"/>
        <w:ind w:left="360" w:hanging="360"/>
      </w:pPr>
      <w:r>
        <w:rPr>
          <w:sz w:val="16"/>
          <w:szCs w:val="16"/>
        </w:rPr>
        <w:t xml:space="preserve">[7] D. K. </w:t>
      </w:r>
      <w:proofErr w:type="spellStart"/>
      <w:r>
        <w:rPr>
          <w:sz w:val="16"/>
          <w:szCs w:val="16"/>
        </w:rPr>
        <w:t>Alqahtani</w:t>
      </w:r>
      <w:proofErr w:type="spellEnd"/>
      <w:r>
        <w:rPr>
          <w:sz w:val="16"/>
          <w:szCs w:val="16"/>
        </w:rPr>
        <w:t>, M. A. Cheema, M. A. Rodrigue</w:t>
      </w:r>
      <w:r>
        <w:rPr>
          <w:sz w:val="16"/>
          <w:szCs w:val="16"/>
        </w:rPr>
        <w:t xml:space="preserve">z, and A. N. </w:t>
      </w:r>
      <w:proofErr w:type="spellStart"/>
      <w:r>
        <w:rPr>
          <w:sz w:val="16"/>
          <w:szCs w:val="16"/>
        </w:rPr>
        <w:t>Toosi</w:t>
      </w:r>
      <w:proofErr w:type="spellEnd"/>
      <w:r>
        <w:rPr>
          <w:sz w:val="16"/>
          <w:szCs w:val="16"/>
        </w:rPr>
        <w:t>, “A comprehensive evaluation of deep learning object detection models on heterogeneous edge devices,” arXiv:2409.16808v3, 2026, version 3, July 14, 2026. [Online]. Available: https://arxiv.org/abs/2409.16808v3</w:t>
      </w:r>
    </w:p>
    <w:p w14:paraId="4F881417" w14:textId="77777777" w:rsidR="00886181" w:rsidRDefault="005475D1">
      <w:pPr>
        <w:spacing w:after="40"/>
        <w:ind w:left="360" w:hanging="360"/>
      </w:pPr>
      <w:r>
        <w:rPr>
          <w:sz w:val="16"/>
          <w:szCs w:val="16"/>
        </w:rPr>
        <w:t xml:space="preserve">[8] ROS </w:t>
      </w:r>
      <w:proofErr w:type="spellStart"/>
      <w:r>
        <w:rPr>
          <w:sz w:val="16"/>
          <w:szCs w:val="16"/>
        </w:rPr>
        <w:t>Teleop</w:t>
      </w:r>
      <w:proofErr w:type="spellEnd"/>
      <w:r>
        <w:rPr>
          <w:sz w:val="16"/>
          <w:szCs w:val="16"/>
        </w:rPr>
        <w:t xml:space="preserve"> Contributors</w:t>
      </w:r>
      <w:r>
        <w:rPr>
          <w:sz w:val="16"/>
          <w:szCs w:val="16"/>
        </w:rPr>
        <w:t>, “</w:t>
      </w:r>
      <w:proofErr w:type="spellStart"/>
      <w:r>
        <w:rPr>
          <w:sz w:val="16"/>
          <w:szCs w:val="16"/>
        </w:rPr>
        <w:t>twist_mux</w:t>
      </w:r>
      <w:proofErr w:type="spellEnd"/>
      <w:r>
        <w:rPr>
          <w:sz w:val="16"/>
          <w:szCs w:val="16"/>
        </w:rPr>
        <w:t>: Input topic configuration,” Official project source, rolling branch, accessed: Oct. 21, 2026. [Online]. Available: https://github.com/ros-teleop/twist_mux/blob/rolling/config/twist_mux_topics.yaml</w:t>
      </w:r>
    </w:p>
    <w:p w14:paraId="32779345" w14:textId="77777777" w:rsidR="00886181" w:rsidRDefault="005475D1">
      <w:pPr>
        <w:spacing w:after="40"/>
        <w:ind w:left="360" w:hanging="360"/>
      </w:pPr>
      <w:r>
        <w:rPr>
          <w:sz w:val="16"/>
          <w:szCs w:val="16"/>
        </w:rPr>
        <w:t>[9] Nav2 Project, “Collision monitor node,” N</w:t>
      </w:r>
      <w:r>
        <w:rPr>
          <w:sz w:val="16"/>
          <w:szCs w:val="16"/>
        </w:rPr>
        <w:t>av2 Documentation, accessed: Oct. 21, 2026. [Online]. Available: https://docs.nav2.org/rolling/configuration_and_development/configuration_guide/core_servers/collision_monitor/configuring_collision_monitor_node/</w:t>
      </w:r>
    </w:p>
    <w:sectPr w:rsidR="00886181">
      <w:type w:val="continuous"/>
      <w:pgSz w:w="11906" w:h="16838"/>
      <w:pgMar w:top="1100" w:right="1000" w:bottom="1100" w:left="1000" w:header="708" w:footer="708" w:gutter="0"/>
      <w:cols w:num="2" w:space="4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825715"/>
    <w:multiLevelType w:val="hybridMultilevel"/>
    <w:tmpl w:val="EE4425AE"/>
    <w:lvl w:ilvl="0" w:tplc="018831FC">
      <w:start w:val="1"/>
      <w:numFmt w:val="bullet"/>
      <w:lvlText w:val="●"/>
      <w:lvlJc w:val="left"/>
      <w:pPr>
        <w:ind w:left="720" w:hanging="360"/>
      </w:pPr>
    </w:lvl>
    <w:lvl w:ilvl="1" w:tplc="17B4B53E">
      <w:start w:val="1"/>
      <w:numFmt w:val="bullet"/>
      <w:lvlText w:val="○"/>
      <w:lvlJc w:val="left"/>
      <w:pPr>
        <w:ind w:left="1440" w:hanging="360"/>
      </w:pPr>
    </w:lvl>
    <w:lvl w:ilvl="2" w:tplc="A11A0C18">
      <w:start w:val="1"/>
      <w:numFmt w:val="bullet"/>
      <w:lvlText w:val="■"/>
      <w:lvlJc w:val="left"/>
      <w:pPr>
        <w:ind w:left="2160" w:hanging="360"/>
      </w:pPr>
    </w:lvl>
    <w:lvl w:ilvl="3" w:tplc="3932C4D6">
      <w:start w:val="1"/>
      <w:numFmt w:val="bullet"/>
      <w:lvlText w:val="●"/>
      <w:lvlJc w:val="left"/>
      <w:pPr>
        <w:ind w:left="2880" w:hanging="360"/>
      </w:pPr>
    </w:lvl>
    <w:lvl w:ilvl="4" w:tplc="D98C64FE">
      <w:start w:val="1"/>
      <w:numFmt w:val="bullet"/>
      <w:lvlText w:val="○"/>
      <w:lvlJc w:val="left"/>
      <w:pPr>
        <w:ind w:left="3600" w:hanging="360"/>
      </w:pPr>
    </w:lvl>
    <w:lvl w:ilvl="5" w:tplc="F19C9840">
      <w:start w:val="1"/>
      <w:numFmt w:val="bullet"/>
      <w:lvlText w:val="■"/>
      <w:lvlJc w:val="left"/>
      <w:pPr>
        <w:ind w:left="4320" w:hanging="360"/>
      </w:pPr>
    </w:lvl>
    <w:lvl w:ilvl="6" w:tplc="7AA45420">
      <w:start w:val="1"/>
      <w:numFmt w:val="bullet"/>
      <w:lvlText w:val="●"/>
      <w:lvlJc w:val="left"/>
      <w:pPr>
        <w:ind w:left="5040" w:hanging="360"/>
      </w:pPr>
    </w:lvl>
    <w:lvl w:ilvl="7" w:tplc="AA30A464">
      <w:start w:val="1"/>
      <w:numFmt w:val="bullet"/>
      <w:lvlText w:val="●"/>
      <w:lvlJc w:val="left"/>
      <w:pPr>
        <w:ind w:left="5760" w:hanging="360"/>
      </w:pPr>
    </w:lvl>
    <w:lvl w:ilvl="8" w:tplc="09DEF5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181"/>
    <w:rsid w:val="00051D92"/>
    <w:rsid w:val="00090057"/>
    <w:rsid w:val="002D34D0"/>
    <w:rsid w:val="003A2F17"/>
    <w:rsid w:val="004168E4"/>
    <w:rsid w:val="005475D1"/>
    <w:rsid w:val="006427C9"/>
    <w:rsid w:val="006D5619"/>
    <w:rsid w:val="007C4CFF"/>
    <w:rsid w:val="00811E34"/>
    <w:rsid w:val="00886181"/>
    <w:rsid w:val="008C47E4"/>
    <w:rsid w:val="009908AB"/>
    <w:rsid w:val="00B10F51"/>
    <w:rsid w:val="00BB7ABC"/>
    <w:rsid w:val="00C04D9A"/>
    <w:rsid w:val="00F4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93BF"/>
  <w15:docId w15:val="{072AFEA4-BA96-46C4-B3F8-36279EA9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350824">
      <w:bodyDiv w:val="1"/>
      <w:marLeft w:val="0"/>
      <w:marRight w:val="0"/>
      <w:marTop w:val="0"/>
      <w:marBottom w:val="0"/>
      <w:divBdr>
        <w:top w:val="none" w:sz="0" w:space="0" w:color="auto"/>
        <w:left w:val="none" w:sz="0" w:space="0" w:color="auto"/>
        <w:bottom w:val="none" w:sz="0" w:space="0" w:color="auto"/>
        <w:right w:val="none" w:sz="0" w:space="0" w:color="auto"/>
      </w:divBdr>
    </w:div>
    <w:div w:id="455804551">
      <w:bodyDiv w:val="1"/>
      <w:marLeft w:val="0"/>
      <w:marRight w:val="0"/>
      <w:marTop w:val="0"/>
      <w:marBottom w:val="0"/>
      <w:divBdr>
        <w:top w:val="none" w:sz="0" w:space="0" w:color="auto"/>
        <w:left w:val="none" w:sz="0" w:space="0" w:color="auto"/>
        <w:bottom w:val="none" w:sz="0" w:space="0" w:color="auto"/>
        <w:right w:val="none" w:sz="0" w:space="0" w:color="auto"/>
      </w:divBdr>
    </w:div>
    <w:div w:id="532184770">
      <w:bodyDiv w:val="1"/>
      <w:marLeft w:val="0"/>
      <w:marRight w:val="0"/>
      <w:marTop w:val="0"/>
      <w:marBottom w:val="0"/>
      <w:divBdr>
        <w:top w:val="none" w:sz="0" w:space="0" w:color="auto"/>
        <w:left w:val="none" w:sz="0" w:space="0" w:color="auto"/>
        <w:bottom w:val="none" w:sz="0" w:space="0" w:color="auto"/>
        <w:right w:val="none" w:sz="0" w:space="0" w:color="auto"/>
      </w:divBdr>
    </w:div>
    <w:div w:id="662927665">
      <w:bodyDiv w:val="1"/>
      <w:marLeft w:val="0"/>
      <w:marRight w:val="0"/>
      <w:marTop w:val="0"/>
      <w:marBottom w:val="0"/>
      <w:divBdr>
        <w:top w:val="none" w:sz="0" w:space="0" w:color="auto"/>
        <w:left w:val="none" w:sz="0" w:space="0" w:color="auto"/>
        <w:bottom w:val="none" w:sz="0" w:space="0" w:color="auto"/>
        <w:right w:val="none" w:sz="0" w:space="0" w:color="auto"/>
      </w:divBdr>
    </w:div>
    <w:div w:id="851066751">
      <w:bodyDiv w:val="1"/>
      <w:marLeft w:val="0"/>
      <w:marRight w:val="0"/>
      <w:marTop w:val="0"/>
      <w:marBottom w:val="0"/>
      <w:divBdr>
        <w:top w:val="none" w:sz="0" w:space="0" w:color="auto"/>
        <w:left w:val="none" w:sz="0" w:space="0" w:color="auto"/>
        <w:bottom w:val="none" w:sz="0" w:space="0" w:color="auto"/>
        <w:right w:val="none" w:sz="0" w:space="0" w:color="auto"/>
      </w:divBdr>
    </w:div>
    <w:div w:id="860900878">
      <w:bodyDiv w:val="1"/>
      <w:marLeft w:val="0"/>
      <w:marRight w:val="0"/>
      <w:marTop w:val="0"/>
      <w:marBottom w:val="0"/>
      <w:divBdr>
        <w:top w:val="none" w:sz="0" w:space="0" w:color="auto"/>
        <w:left w:val="none" w:sz="0" w:space="0" w:color="auto"/>
        <w:bottom w:val="none" w:sz="0" w:space="0" w:color="auto"/>
        <w:right w:val="none" w:sz="0" w:space="0" w:color="auto"/>
      </w:divBdr>
    </w:div>
    <w:div w:id="955253135">
      <w:bodyDiv w:val="1"/>
      <w:marLeft w:val="0"/>
      <w:marRight w:val="0"/>
      <w:marTop w:val="0"/>
      <w:marBottom w:val="0"/>
      <w:divBdr>
        <w:top w:val="none" w:sz="0" w:space="0" w:color="auto"/>
        <w:left w:val="none" w:sz="0" w:space="0" w:color="auto"/>
        <w:bottom w:val="none" w:sz="0" w:space="0" w:color="auto"/>
        <w:right w:val="none" w:sz="0" w:space="0" w:color="auto"/>
      </w:divBdr>
    </w:div>
    <w:div w:id="1691569665">
      <w:bodyDiv w:val="1"/>
      <w:marLeft w:val="0"/>
      <w:marRight w:val="0"/>
      <w:marTop w:val="0"/>
      <w:marBottom w:val="0"/>
      <w:divBdr>
        <w:top w:val="none" w:sz="0" w:space="0" w:color="auto"/>
        <w:left w:val="none" w:sz="0" w:space="0" w:color="auto"/>
        <w:bottom w:val="none" w:sz="0" w:space="0" w:color="auto"/>
        <w:right w:val="none" w:sz="0" w:space="0" w:color="auto"/>
      </w:divBdr>
    </w:div>
    <w:div w:id="1763724607">
      <w:bodyDiv w:val="1"/>
      <w:marLeft w:val="0"/>
      <w:marRight w:val="0"/>
      <w:marTop w:val="0"/>
      <w:marBottom w:val="0"/>
      <w:divBdr>
        <w:top w:val="none" w:sz="0" w:space="0" w:color="auto"/>
        <w:left w:val="none" w:sz="0" w:space="0" w:color="auto"/>
        <w:bottom w:val="none" w:sz="0" w:space="0" w:color="auto"/>
        <w:right w:val="none" w:sz="0" w:space="0" w:color="auto"/>
      </w:divBdr>
    </w:div>
    <w:div w:id="2035036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6</Pages>
  <Words>3843</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HazBot: An Embedded Mobile Manipulation Architecture for Hazardous-Object Retrieval</vt:lpstr>
    </vt:vector>
  </TitlesOfParts>
  <Company/>
  <LinksUpToDate>false</LinksUpToDate>
  <CharactersWithSpaces>25703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HazBot: An Embedded Mobile Manipulation Architecture for Hazardous-Object Retrieval</dc:title>
  <dc:creator>Anonymous Authors</dc:creator>
  <cp:lastModifiedBy>Taufiq Biswas</cp:lastModifiedBy>
  <cp:revision>6</cp:revision>
  <dcterms:created xsi:type="dcterms:W3CDTF">2026-10-23T05:22:00Z</dcterms:created>
  <dcterms:modified xsi:type="dcterms:W3CDTF">2026-10-23T09:05:00Z</dcterms:modified>
</cp:coreProperties>
</file>