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DEMOBILISATION PLAN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[Project]-F-PRG-DEMOB-R0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H — Handover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Name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 Title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Employer's Representative (ER)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HAI / ARADA Governance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Lead Consultant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Contractor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[Project]-[Cat]-[Disc]-[Seq]-[Rev]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Date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___/___/______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Discipline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Package / Zone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</w:tbl>
    <w:p/>
    <w:p>
      <w:pPr>
        <w:pStyle w:val="Heading2"/>
      </w:pPr>
      <w:r>
        <w:t>1. Purpose &amp; Scope</w:t>
      </w:r>
    </w:p>
    <w:p>
      <w:pPr>
        <w:pStyle w:val="ListBullet"/>
      </w:pPr>
      <w:r>
        <w:rPr>
          <w:color w:val="666666"/>
          <w:sz w:val="18"/>
        </w:rPr>
        <w:t>Define scope of demobilisation.</w:t>
      </w:r>
    </w:p>
    <w:p>
      <w:pPr>
        <w:pStyle w:val="ListBullet"/>
      </w:pPr>
      <w:r>
        <w:rPr>
          <w:color w:val="666666"/>
          <w:sz w:val="18"/>
        </w:rPr>
        <w:t>Applicable contract clause: FIDIC Cl. 11.9 (Clearance of Site).</w:t>
      </w:r>
    </w:p>
    <w:p>
      <w:pPr>
        <w:pStyle w:val="Heading2"/>
      </w:pPr>
      <w:r>
        <w:t>2. Demobilisation Programme</w:t>
      </w:r>
    </w:p>
    <w:p>
      <w:pPr>
        <w:pStyle w:val="ListBullet"/>
      </w:pPr>
      <w:r>
        <w:rPr>
          <w:color w:val="666666"/>
          <w:sz w:val="18"/>
        </w:rPr>
        <w:t>Key milestones and dates.</w:t>
      </w:r>
    </w:p>
    <w:p>
      <w:pPr>
        <w:pStyle w:val="ListBullet"/>
      </w:pPr>
      <w:r>
        <w:rPr>
          <w:color w:val="666666"/>
          <w:sz w:val="18"/>
        </w:rPr>
        <w:t>Sequence of demobilisation activities.</w:t>
      </w:r>
    </w:p>
    <w:p>
      <w:pPr>
        <w:pStyle w:val="Heading2"/>
      </w:pPr>
      <w:r>
        <w:t>3. Site Clearance</w:t>
      </w:r>
    </w:p>
    <w:p>
      <w:pPr>
        <w:pStyle w:val="ListBullet"/>
      </w:pPr>
      <w:r>
        <w:rPr>
          <w:color w:val="666666"/>
          <w:sz w:val="18"/>
        </w:rPr>
        <w:t>Removal of temporary structures.</w:t>
      </w:r>
    </w:p>
    <w:p>
      <w:pPr>
        <w:pStyle w:val="ListBullet"/>
      </w:pPr>
      <w:r>
        <w:rPr>
          <w:color w:val="666666"/>
          <w:sz w:val="18"/>
        </w:rPr>
        <w:t>Removal of plant and equipment.</w:t>
      </w:r>
    </w:p>
    <w:p>
      <w:pPr>
        <w:pStyle w:val="ListBullet"/>
      </w:pPr>
      <w:r>
        <w:rPr>
          <w:color w:val="666666"/>
          <w:sz w:val="18"/>
        </w:rPr>
        <w:t>Site reinstatement requirements.</w:t>
      </w:r>
    </w:p>
    <w:p>
      <w:pPr>
        <w:pStyle w:val="ListBullet"/>
      </w:pPr>
      <w:r>
        <w:rPr>
          <w:color w:val="666666"/>
          <w:sz w:val="18"/>
        </w:rPr>
        <w:t>Final site inspection.</w:t>
      </w:r>
    </w:p>
    <w:p>
      <w:pPr>
        <w:pStyle w:val="Heading2"/>
      </w:pPr>
      <w:r>
        <w:t>4. Personnel Demobilisation</w:t>
      </w:r>
    </w:p>
    <w:p>
      <w:pPr>
        <w:pStyle w:val="ListBullet"/>
      </w:pPr>
      <w:r>
        <w:rPr>
          <w:color w:val="666666"/>
          <w:sz w:val="18"/>
        </w:rPr>
        <w:t>Staff release schedule.</w:t>
      </w:r>
    </w:p>
    <w:p>
      <w:pPr>
        <w:pStyle w:val="ListBullet"/>
      </w:pPr>
      <w:r>
        <w:rPr>
          <w:color w:val="666666"/>
          <w:sz w:val="18"/>
        </w:rPr>
        <w:t>Final timesheets and payments.</w:t>
      </w:r>
    </w:p>
    <w:p>
      <w:pPr>
        <w:pStyle w:val="ListBullet"/>
      </w:pPr>
      <w:r>
        <w:rPr>
          <w:color w:val="666666"/>
          <w:sz w:val="18"/>
        </w:rPr>
        <w:t>Exit documentation.</w:t>
      </w:r>
    </w:p>
    <w:p>
      <w:pPr>
        <w:pStyle w:val="ListBullet"/>
      </w:pPr>
      <w:r>
        <w:rPr>
          <w:color w:val="666666"/>
          <w:sz w:val="18"/>
        </w:rPr>
        <w:t>Visa cancellation (where applicable).</w:t>
      </w:r>
    </w:p>
    <w:p>
      <w:pPr>
        <w:pStyle w:val="Heading2"/>
      </w:pPr>
      <w:r>
        <w:t>5. Plant &amp; Equipment Removal</w:t>
      </w:r>
    </w:p>
    <w:p>
      <w:pPr>
        <w:pStyle w:val="ListBullet"/>
      </w:pPr>
      <w:r>
        <w:rPr>
          <w:color w:val="666666"/>
          <w:sz w:val="18"/>
        </w:rPr>
        <w:t>Equipment removal schedule.</w:t>
      </w:r>
    </w:p>
    <w:p>
      <w:pPr>
        <w:pStyle w:val="ListBullet"/>
      </w:pPr>
      <w:r>
        <w:rPr>
          <w:color w:val="666666"/>
          <w:sz w:val="18"/>
        </w:rPr>
        <w:t>Transport arrangements.</w:t>
      </w:r>
    </w:p>
    <w:p>
      <w:pPr>
        <w:pStyle w:val="ListBullet"/>
      </w:pPr>
      <w:r>
        <w:rPr>
          <w:color w:val="666666"/>
          <w:sz w:val="18"/>
        </w:rPr>
        <w:t>Final maintenance / inspection.</w:t>
      </w:r>
    </w:p>
    <w:p>
      <w:pPr>
        <w:pStyle w:val="Heading2"/>
      </w:pPr>
      <w:r>
        <w:t>6. Material Disposal</w:t>
      </w:r>
    </w:p>
    <w:p>
      <w:pPr>
        <w:pStyle w:val="ListBullet"/>
      </w:pPr>
      <w:r>
        <w:rPr>
          <w:color w:val="666666"/>
          <w:sz w:val="18"/>
        </w:rPr>
        <w:t>Surplus material disposal.</w:t>
      </w:r>
    </w:p>
    <w:p>
      <w:pPr>
        <w:pStyle w:val="ListBullet"/>
      </w:pPr>
      <w:r>
        <w:rPr>
          <w:color w:val="666666"/>
          <w:sz w:val="18"/>
        </w:rPr>
        <w:t>Waste removal and disposal certificates.</w:t>
      </w:r>
    </w:p>
    <w:p>
      <w:pPr>
        <w:pStyle w:val="ListBullet"/>
      </w:pPr>
      <w:r>
        <w:rPr>
          <w:color w:val="666666"/>
          <w:sz w:val="18"/>
        </w:rPr>
        <w:t>Hazardous material handling.</w:t>
      </w:r>
    </w:p>
    <w:p>
      <w:pPr>
        <w:pStyle w:val="Heading2"/>
      </w:pPr>
      <w:r>
        <w:t>7. Document Handover</w:t>
      </w:r>
    </w:p>
    <w:p>
      <w:pPr>
        <w:pStyle w:val="ListBullet"/>
      </w:pPr>
      <w:r>
        <w:rPr>
          <w:color w:val="666666"/>
          <w:sz w:val="18"/>
        </w:rPr>
        <w:t>Final as-built drawings.</w:t>
      </w:r>
    </w:p>
    <w:p>
      <w:pPr>
        <w:pStyle w:val="ListBullet"/>
      </w:pPr>
      <w:r>
        <w:rPr>
          <w:color w:val="666666"/>
          <w:sz w:val="18"/>
        </w:rPr>
        <w:t>O&amp;M manuals.</w:t>
      </w:r>
    </w:p>
    <w:p>
      <w:pPr>
        <w:pStyle w:val="ListBullet"/>
      </w:pPr>
      <w:r>
        <w:rPr>
          <w:color w:val="666666"/>
          <w:sz w:val="18"/>
        </w:rPr>
        <w:t>Test certificates and warranties.</w:t>
      </w:r>
    </w:p>
    <w:p>
      <w:pPr>
        <w:pStyle w:val="ListBullet"/>
      </w:pPr>
      <w:r>
        <w:rPr>
          <w:color w:val="666666"/>
          <w:sz w:val="18"/>
        </w:rPr>
        <w:t>Defects liability documentation.</w:t>
      </w:r>
    </w:p>
    <w:p>
      <w:pPr>
        <w:pStyle w:val="Heading2"/>
      </w:pPr>
      <w:r>
        <w:t>8. Financial Close-Out</w:t>
      </w:r>
    </w:p>
    <w:p>
      <w:pPr>
        <w:pStyle w:val="ListBullet"/>
      </w:pPr>
      <w:r>
        <w:rPr>
          <w:color w:val="666666"/>
          <w:sz w:val="18"/>
        </w:rPr>
        <w:t>Final account preparation.</w:t>
      </w:r>
    </w:p>
    <w:p>
      <w:pPr>
        <w:pStyle w:val="ListBullet"/>
      </w:pPr>
      <w:r>
        <w:rPr>
          <w:color w:val="666666"/>
          <w:sz w:val="18"/>
        </w:rPr>
        <w:t>Release of retention.</w:t>
      </w:r>
    </w:p>
    <w:p>
      <w:pPr>
        <w:pStyle w:val="ListBullet"/>
      </w:pPr>
      <w:r>
        <w:rPr>
          <w:color w:val="666666"/>
          <w:sz w:val="18"/>
        </w:rPr>
        <w:t>Performance bond release.</w:t>
      </w:r>
    </w:p>
    <w:p>
      <w:pPr>
        <w:pStyle w:val="ListBullet"/>
      </w:pPr>
      <w:r>
        <w:rPr>
          <w:color w:val="666666"/>
          <w:sz w:val="18"/>
        </w:rPr>
        <w:t>Outstanding claims resolution.</w:t>
      </w:r>
    </w:p>
    <w:p>
      <w:pPr>
        <w:pStyle w:val="Heading2"/>
      </w:pPr>
      <w:r>
        <w:t>9. Environmental Remediation</w:t>
      </w:r>
    </w:p>
    <w:p>
      <w:pPr>
        <w:pStyle w:val="ListBullet"/>
      </w:pPr>
      <w:r>
        <w:rPr>
          <w:color w:val="666666"/>
          <w:sz w:val="18"/>
        </w:rPr>
        <w:t>Site contamination assessment.</w:t>
      </w:r>
    </w:p>
    <w:p>
      <w:pPr>
        <w:pStyle w:val="ListBullet"/>
      </w:pPr>
      <w:r>
        <w:rPr>
          <w:color w:val="666666"/>
          <w:sz w:val="18"/>
        </w:rPr>
        <w:t>Remediation measures if required.</w:t>
      </w:r>
    </w:p>
    <w:p>
      <w:pPr>
        <w:pStyle w:val="ListBullet"/>
      </w:pPr>
      <w:r>
        <w:rPr>
          <w:color w:val="666666"/>
          <w:sz w:val="18"/>
        </w:rPr>
        <w:t>Environmental clearance certificate.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p/>
    <w:p>
      <w:r>
        <w:rPr>
          <w:b/>
          <w:color w:val="1E2761"/>
          <w:sz w:val="22"/>
        </w:rPr>
        <w:t>REVIEW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A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— No comments, proceed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B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with Comments — Proceed, incorporate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C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Revise &amp; Resubmit — Do NOT proceed, address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Rejected — Fundamental non-compliance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E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For Information Only — No approval action required</w:t>
            </w:r>
          </w:p>
        </w:tc>
      </w:tr>
    </w:tbl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