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O&amp;M MANUAL</w:t>
              <w:br/>
              <w:t>TEMPLATE</w:t>
            </w:r>
          </w:p>
        </w:tc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[Project]-H-OM-[Seq]-R0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H — Handover</w:t>
            </w:r>
          </w:p>
        </w:tc>
      </w:tr>
    </w:tbl>
    <w:p/>
    <w:p>
      <w:pPr>
        <w:pStyle w:val="Heading2"/>
      </w:pPr>
      <w:r>
        <w:t>1. General Information</w:t>
      </w:r>
    </w:p>
    <w:p>
      <w:pPr>
        <w:pStyle w:val="ListBullet"/>
      </w:pPr>
      <w:r>
        <w:rPr>
          <w:color w:val="666666"/>
          <w:sz w:val="18"/>
        </w:rPr>
        <w:t>Project name and description.</w:t>
      </w:r>
    </w:p>
    <w:p>
      <w:pPr>
        <w:pStyle w:val="ListBullet"/>
      </w:pPr>
      <w:r>
        <w:rPr>
          <w:color w:val="666666"/>
          <w:sz w:val="18"/>
        </w:rPr>
        <w:t>Building/system overview.</w:t>
      </w:r>
    </w:p>
    <w:p>
      <w:pPr>
        <w:pStyle w:val="ListBullet"/>
      </w:pPr>
      <w:r>
        <w:rPr>
          <w:color w:val="666666"/>
          <w:sz w:val="18"/>
        </w:rPr>
        <w:t>Contact details.</w:t>
      </w:r>
    </w:p>
    <w:p>
      <w:pPr>
        <w:pStyle w:val="Heading2"/>
      </w:pPr>
      <w:r>
        <w:t>2. System Description</w:t>
      </w:r>
    </w:p>
    <w:p>
      <w:pPr>
        <w:pStyle w:val="ListBullet"/>
      </w:pPr>
      <w:r>
        <w:rPr>
          <w:color w:val="666666"/>
          <w:sz w:val="18"/>
        </w:rPr>
        <w:t>System purpose and design parameters.</w:t>
      </w:r>
    </w:p>
    <w:p>
      <w:pPr>
        <w:pStyle w:val="ListBullet"/>
      </w:pPr>
      <w:r>
        <w:rPr>
          <w:color w:val="666666"/>
          <w:sz w:val="18"/>
        </w:rPr>
        <w:t>Operating principles.</w:t>
      </w:r>
    </w:p>
    <w:p>
      <w:pPr>
        <w:pStyle w:val="ListBullet"/>
      </w:pPr>
      <w:r>
        <w:rPr>
          <w:color w:val="666666"/>
          <w:sz w:val="18"/>
        </w:rPr>
        <w:t>Design conditions.</w:t>
      </w:r>
    </w:p>
    <w:p>
      <w:pPr>
        <w:pStyle w:val="Heading2"/>
      </w:pPr>
      <w:r>
        <w:t>3. Operation Procedures</w:t>
      </w:r>
    </w:p>
    <w:p>
      <w:pPr>
        <w:pStyle w:val="ListBullet"/>
      </w:pPr>
      <w:r>
        <w:rPr>
          <w:color w:val="666666"/>
          <w:sz w:val="18"/>
        </w:rPr>
        <w:t>Start-up procedure.</w:t>
      </w:r>
    </w:p>
    <w:p>
      <w:pPr>
        <w:pStyle w:val="ListBullet"/>
      </w:pPr>
      <w:r>
        <w:rPr>
          <w:color w:val="666666"/>
          <w:sz w:val="18"/>
        </w:rPr>
        <w:t>Normal operation.</w:t>
      </w:r>
    </w:p>
    <w:p>
      <w:pPr>
        <w:pStyle w:val="ListBullet"/>
      </w:pPr>
      <w:r>
        <w:rPr>
          <w:color w:val="666666"/>
          <w:sz w:val="18"/>
        </w:rPr>
        <w:t>Shutdown procedure.</w:t>
      </w:r>
    </w:p>
    <w:p>
      <w:pPr>
        <w:pStyle w:val="ListBullet"/>
      </w:pPr>
      <w:r>
        <w:rPr>
          <w:color w:val="666666"/>
          <w:sz w:val="18"/>
        </w:rPr>
        <w:t>Emergency procedures.</w:t>
      </w:r>
    </w:p>
    <w:p>
      <w:pPr>
        <w:pStyle w:val="Heading2"/>
      </w:pPr>
      <w:r>
        <w:t>4. Maintenance Schedule</w:t>
      </w:r>
    </w:p>
    <w:p>
      <w:pPr>
        <w:pStyle w:val="ListBullet"/>
      </w:pPr>
      <w:r>
        <w:rPr>
          <w:color w:val="666666"/>
          <w:sz w:val="18"/>
        </w:rPr>
        <w:t>Preventive maintenance schedule.</w:t>
      </w:r>
    </w:p>
    <w:p>
      <w:pPr>
        <w:pStyle w:val="ListBullet"/>
      </w:pPr>
      <w:r>
        <w:rPr>
          <w:color w:val="666666"/>
          <w:sz w:val="18"/>
        </w:rPr>
        <w:t>Spare parts list.</w:t>
      </w:r>
    </w:p>
    <w:p>
      <w:pPr>
        <w:pStyle w:val="ListBullet"/>
      </w:pPr>
      <w:r>
        <w:rPr>
          <w:color w:val="666666"/>
          <w:sz w:val="18"/>
        </w:rPr>
        <w:t>Lubrication schedule.</w:t>
      </w:r>
    </w:p>
    <w:p>
      <w:pPr>
        <w:pStyle w:val="Heading2"/>
      </w:pPr>
      <w:r>
        <w:t>5. Troubleshooting Guide</w:t>
      </w:r>
    </w:p>
    <w:p>
      <w:pPr>
        <w:pStyle w:val="ListBullet"/>
      </w:pPr>
      <w:r>
        <w:rPr>
          <w:color w:val="666666"/>
          <w:sz w:val="18"/>
        </w:rPr>
        <w:t>Common faults and remedies.</w:t>
      </w:r>
    </w:p>
    <w:p>
      <w:pPr>
        <w:pStyle w:val="ListBullet"/>
      </w:pPr>
      <w:r>
        <w:rPr>
          <w:color w:val="666666"/>
          <w:sz w:val="18"/>
        </w:rPr>
        <w:t>Alarm descriptions and actions.</w:t>
      </w:r>
    </w:p>
    <w:p>
      <w:pPr>
        <w:pStyle w:val="Heading2"/>
      </w:pPr>
      <w:r>
        <w:t>6. Warranty Information</w:t>
      </w:r>
    </w:p>
    <w:p>
      <w:pPr>
        <w:pStyle w:val="ListBullet"/>
      </w:pPr>
      <w:r>
        <w:rPr>
          <w:color w:val="666666"/>
          <w:sz w:val="18"/>
        </w:rPr>
        <w:t>Warranty periods by system.</w:t>
      </w:r>
    </w:p>
    <w:p>
      <w:pPr>
        <w:pStyle w:val="ListBullet"/>
      </w:pPr>
      <w:r>
        <w:rPr>
          <w:color w:val="666666"/>
          <w:sz w:val="18"/>
        </w:rPr>
        <w:t>Warranty conditions.</w:t>
      </w:r>
    </w:p>
    <w:p>
      <w:pPr>
        <w:pStyle w:val="ListBullet"/>
      </w:pPr>
      <w:r>
        <w:rPr>
          <w:color w:val="666666"/>
          <w:sz w:val="18"/>
        </w:rPr>
        <w:t>Manufacturer contacts.</w:t>
      </w:r>
    </w:p>
    <w:p>
      <w:pPr>
        <w:pStyle w:val="Heading2"/>
      </w:pPr>
      <w:r>
        <w:t>7. Drawings &amp; Schematics</w:t>
      </w:r>
    </w:p>
    <w:p>
      <w:pPr>
        <w:pStyle w:val="ListBullet"/>
      </w:pPr>
      <w:r>
        <w:rPr>
          <w:color w:val="666666"/>
          <w:sz w:val="18"/>
        </w:rPr>
        <w:t>As-built drawings list.</w:t>
      </w:r>
    </w:p>
    <w:p>
      <w:pPr>
        <w:pStyle w:val="ListBullet"/>
      </w:pPr>
      <w:r>
        <w:rPr>
          <w:color w:val="666666"/>
          <w:sz w:val="18"/>
        </w:rPr>
        <w:t>Schematic diagrams.</w:t>
      </w:r>
    </w:p>
    <w:p>
      <w:pPr>
        <w:pStyle w:val="ListBullet"/>
      </w:pPr>
      <w:r>
        <w:rPr>
          <w:color w:val="666666"/>
          <w:sz w:val="18"/>
        </w:rPr>
        <w:t>Single line diagrams.</w:t>
      </w:r>
    </w:p>
    <w:p>
      <w:pPr>
        <w:pStyle w:val="Heading2"/>
      </w:pPr>
      <w:r>
        <w:t>8. Certificates &amp; Test Reports</w:t>
      </w:r>
    </w:p>
    <w:p>
      <w:pPr>
        <w:pStyle w:val="ListBullet"/>
      </w:pPr>
      <w:r>
        <w:rPr>
          <w:color w:val="666666"/>
          <w:sz w:val="18"/>
        </w:rPr>
        <w:t>Commissioning certificates.</w:t>
      </w:r>
    </w:p>
    <w:p>
      <w:pPr>
        <w:pStyle w:val="ListBullet"/>
      </w:pPr>
      <w:r>
        <w:rPr>
          <w:color w:val="666666"/>
          <w:sz w:val="18"/>
        </w:rPr>
        <w:t>Test reports.</w:t>
      </w:r>
    </w:p>
    <w:p>
      <w:pPr>
        <w:pStyle w:val="ListBullet"/>
      </w:pPr>
      <w:r>
        <w:rPr>
          <w:color w:val="666666"/>
          <w:sz w:val="18"/>
        </w:rPr>
        <w:t>Compliance certificates.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</w:t>
            </w:r>
          </w:p>
        </w:tc>
      </w:tr>
    </w:tbl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