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ENVIRONMENTAL</w:t>
              <w:br/>
              <w:t>MANAGEMENT PLAN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[Project]-E-HSE-0008-R0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E — HSE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Environmental Policy</w:t>
      </w:r>
    </w:p>
    <w:p>
      <w:pPr>
        <w:pStyle w:val="ListBullet"/>
      </w:pPr>
      <w:r>
        <w:rPr>
          <w:color w:val="666666"/>
          <w:sz w:val="18"/>
        </w:rPr>
        <w:t>Company environmental policy statement.</w:t>
      </w:r>
    </w:p>
    <w:p>
      <w:pPr>
        <w:pStyle w:val="ListBullet"/>
      </w:pPr>
      <w:r>
        <w:rPr>
          <w:color w:val="666666"/>
          <w:sz w:val="18"/>
        </w:rPr>
        <w:t>Legal compliance requirements.</w:t>
      </w:r>
    </w:p>
    <w:p>
      <w:pPr>
        <w:pStyle w:val="Heading2"/>
      </w:pPr>
      <w:r>
        <w:t>2. Environmental Aspects &amp; Impacts</w:t>
      </w:r>
    </w:p>
    <w:p>
      <w:pPr>
        <w:pStyle w:val="ListBullet"/>
      </w:pPr>
      <w:r>
        <w:rPr>
          <w:color w:val="666666"/>
          <w:sz w:val="18"/>
        </w:rPr>
        <w:t>Aspect-impact register.</w:t>
      </w:r>
    </w:p>
    <w:p>
      <w:pPr>
        <w:pStyle w:val="ListBullet"/>
      </w:pPr>
      <w:r>
        <w:rPr>
          <w:color w:val="666666"/>
          <w:sz w:val="18"/>
        </w:rPr>
        <w:t>Significance assessment.</w:t>
      </w:r>
    </w:p>
    <w:p>
      <w:pPr>
        <w:pStyle w:val="Heading2"/>
      </w:pPr>
      <w:r>
        <w:t>3. Mitigation Measures</w:t>
      </w:r>
    </w:p>
    <w:p>
      <w:pPr>
        <w:pStyle w:val="ListBullet"/>
      </w:pPr>
      <w:r>
        <w:rPr>
          <w:color w:val="666666"/>
          <w:sz w:val="18"/>
        </w:rPr>
        <w:t>Dust control.</w:t>
      </w:r>
    </w:p>
    <w:p>
      <w:pPr>
        <w:pStyle w:val="ListBullet"/>
      </w:pPr>
      <w:r>
        <w:rPr>
          <w:color w:val="666666"/>
          <w:sz w:val="18"/>
        </w:rPr>
        <w:t>Noise control.</w:t>
      </w:r>
    </w:p>
    <w:p>
      <w:pPr>
        <w:pStyle w:val="ListBullet"/>
      </w:pPr>
      <w:r>
        <w:rPr>
          <w:color w:val="666666"/>
          <w:sz w:val="18"/>
        </w:rPr>
        <w:t>Water management.</w:t>
      </w:r>
    </w:p>
    <w:p>
      <w:pPr>
        <w:pStyle w:val="ListBullet"/>
      </w:pPr>
      <w:r>
        <w:rPr>
          <w:color w:val="666666"/>
          <w:sz w:val="18"/>
        </w:rPr>
        <w:t>Contamination prevention.</w:t>
      </w:r>
    </w:p>
    <w:p>
      <w:pPr>
        <w:pStyle w:val="Heading2"/>
      </w:pPr>
      <w:r>
        <w:t>4. Waste Management</w:t>
      </w:r>
    </w:p>
    <w:p>
      <w:pPr>
        <w:pStyle w:val="ListBullet"/>
      </w:pPr>
      <w:r>
        <w:rPr>
          <w:color w:val="666666"/>
          <w:sz w:val="18"/>
        </w:rPr>
        <w:t>Waste classification.</w:t>
      </w:r>
    </w:p>
    <w:p>
      <w:pPr>
        <w:pStyle w:val="ListBullet"/>
      </w:pPr>
      <w:r>
        <w:rPr>
          <w:color w:val="666666"/>
          <w:sz w:val="18"/>
        </w:rPr>
        <w:t>Storage and segregation.</w:t>
      </w:r>
    </w:p>
    <w:p>
      <w:pPr>
        <w:pStyle w:val="ListBullet"/>
      </w:pPr>
      <w:r>
        <w:rPr>
          <w:color w:val="666666"/>
          <w:sz w:val="18"/>
        </w:rPr>
        <w:t>Licensed disposal.</w:t>
      </w:r>
    </w:p>
    <w:p>
      <w:pPr>
        <w:pStyle w:val="ListBullet"/>
      </w:pPr>
      <w:r>
        <w:rPr>
          <w:color w:val="666666"/>
          <w:sz w:val="18"/>
        </w:rPr>
        <w:t>Waste transfer notes.</w:t>
      </w:r>
    </w:p>
    <w:p>
      <w:pPr>
        <w:pStyle w:val="Heading2"/>
      </w:pPr>
      <w:r>
        <w:t>5. Monitoring Programme</w:t>
      </w:r>
    </w:p>
    <w:p>
      <w:pPr>
        <w:pStyle w:val="ListBullet"/>
      </w:pPr>
      <w:r>
        <w:rPr>
          <w:color w:val="666666"/>
          <w:sz w:val="18"/>
        </w:rPr>
        <w:t>Air quality monitoring.</w:t>
      </w:r>
    </w:p>
    <w:p>
      <w:pPr>
        <w:pStyle w:val="ListBullet"/>
      </w:pPr>
      <w:r>
        <w:rPr>
          <w:color w:val="666666"/>
          <w:sz w:val="18"/>
        </w:rPr>
        <w:t>Noise monitoring.</w:t>
      </w:r>
    </w:p>
    <w:p>
      <w:pPr>
        <w:pStyle w:val="ListBullet"/>
      </w:pPr>
      <w:r>
        <w:rPr>
          <w:color w:val="666666"/>
          <w:sz w:val="18"/>
        </w:rPr>
        <w:t>Water discharge monitoring.</w:t>
      </w:r>
    </w:p>
    <w:p>
      <w:pPr>
        <w:pStyle w:val="ListBullet"/>
      </w:pPr>
      <w:r>
        <w:rPr>
          <w:color w:val="666666"/>
          <w:sz w:val="18"/>
        </w:rPr>
        <w:t>Frequency and locations.</w:t>
      </w:r>
    </w:p>
    <w:p>
      <w:pPr>
        <w:pStyle w:val="Heading2"/>
      </w:pPr>
      <w:r>
        <w:t>6. Reporting &amp; Compliance</w:t>
      </w:r>
    </w:p>
    <w:p>
      <w:pPr>
        <w:pStyle w:val="ListBullet"/>
      </w:pPr>
      <w:r>
        <w:rPr>
          <w:color w:val="666666"/>
          <w:sz w:val="18"/>
        </w:rPr>
        <w:t>Monthly environmental report.</w:t>
      </w:r>
    </w:p>
    <w:p>
      <w:pPr>
        <w:pStyle w:val="ListBullet"/>
      </w:pPr>
      <w:r>
        <w:rPr>
          <w:color w:val="666666"/>
          <w:sz w:val="18"/>
        </w:rPr>
        <w:t>Incident reporting.</w:t>
      </w:r>
    </w:p>
    <w:p>
      <w:pPr>
        <w:pStyle w:val="ListBullet"/>
      </w:pPr>
      <w:r>
        <w:rPr>
          <w:color w:val="666666"/>
          <w:sz w:val="18"/>
        </w:rPr>
        <w:t>Regulatory compliance register.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