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Piling &amp; Foundation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7.1, 7.2</w:t>
      </w:r>
    </w:p>
    <w:p>
      <w:pPr>
        <w:pStyle w:val="ListBullet"/>
      </w:pPr>
      <w:r>
        <w:rPr>
          <w:sz w:val="18"/>
        </w:rPr>
        <w:t>QCS 2014: QCS S5, S7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Pile Type &amp; Design</w:t>
      </w:r>
    </w:p>
    <w:p>
      <w:pPr>
        <w:pStyle w:val="ListBullet"/>
      </w:pPr>
      <w:r>
        <w:rPr>
          <w:color w:val="666666"/>
          <w:sz w:val="18"/>
        </w:rPr>
        <w:t>Pile type (bored, driven, CFA, etc.).</w:t>
      </w:r>
    </w:p>
    <w:p>
      <w:pPr>
        <w:pStyle w:val="ListBullet"/>
      </w:pPr>
      <w:r>
        <w:rPr>
          <w:color w:val="666666"/>
          <w:sz w:val="18"/>
        </w:rPr>
        <w:t>Design load capacity and length.</w:t>
      </w:r>
    </w:p>
    <w:p>
      <w:pPr>
        <w:pStyle w:val="ListBullet"/>
      </w:pPr>
      <w:r>
        <w:rPr>
          <w:color w:val="666666"/>
          <w:sz w:val="18"/>
        </w:rPr>
        <w:t>Reference to structural calculations.</w:t>
      </w:r>
    </w:p>
    <w:p>
      <w:pPr>
        <w:pStyle w:val="Heading2"/>
      </w:pPr>
      <w:r>
        <w:t>6. Installation Sequence</w:t>
      </w:r>
    </w:p>
    <w:p>
      <w:pPr>
        <w:pStyle w:val="ListBullet"/>
      </w:pPr>
      <w:r>
        <w:rPr>
          <w:color w:val="666666"/>
          <w:sz w:val="18"/>
        </w:rPr>
        <w:t>Rig positioning and setup.</w:t>
      </w:r>
    </w:p>
    <w:p>
      <w:pPr>
        <w:pStyle w:val="ListBullet"/>
      </w:pPr>
      <w:r>
        <w:rPr>
          <w:color w:val="666666"/>
          <w:sz w:val="18"/>
        </w:rPr>
        <w:t>Boring/driving procedure.</w:t>
      </w:r>
    </w:p>
    <w:p>
      <w:pPr>
        <w:pStyle w:val="ListBullet"/>
      </w:pPr>
      <w:r>
        <w:rPr>
          <w:color w:val="666666"/>
          <w:sz w:val="18"/>
        </w:rPr>
        <w:t>Concrete pouring and curing.</w:t>
      </w:r>
    </w:p>
    <w:p>
      <w:pPr>
        <w:pStyle w:val="ListBullet"/>
      </w:pPr>
      <w:r>
        <w:rPr>
          <w:color w:val="666666"/>
          <w:sz w:val="18"/>
        </w:rPr>
        <w:t>Integrity testing (PDA, PIT, load test).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