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Concrete Works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7.1, 7.2</w:t>
      </w:r>
    </w:p>
    <w:p>
      <w:pPr>
        <w:pStyle w:val="ListBullet"/>
      </w:pPr>
      <w:r>
        <w:rPr>
          <w:sz w:val="18"/>
        </w:rPr>
        <w:t>QCS 2014: QCS S5, S8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Mix Design</w:t>
      </w:r>
    </w:p>
    <w:p>
      <w:pPr>
        <w:pStyle w:val="ListBullet"/>
      </w:pPr>
      <w:r>
        <w:rPr>
          <w:color w:val="666666"/>
          <w:sz w:val="18"/>
        </w:rPr>
        <w:t>Reference approved mix design submittal.</w:t>
      </w:r>
    </w:p>
    <w:p>
      <w:pPr>
        <w:pStyle w:val="ListBullet"/>
      </w:pPr>
      <w:r>
        <w:rPr>
          <w:color w:val="666666"/>
          <w:sz w:val="18"/>
        </w:rPr>
        <w:t>Concrete grade, slump, admixtures.</w:t>
      </w:r>
    </w:p>
    <w:p>
      <w:pPr>
        <w:pStyle w:val="ListBullet"/>
      </w:pPr>
      <w:r>
        <w:rPr>
          <w:color w:val="666666"/>
          <w:sz w:val="18"/>
        </w:rPr>
        <w:t>Source of aggregates and cement.</w:t>
      </w:r>
    </w:p>
    <w:p>
      <w:pPr>
        <w:pStyle w:val="Heading2"/>
      </w:pPr>
      <w:r>
        <w:t>6. Formwork &amp; Reinforcement</w:t>
      </w:r>
    </w:p>
    <w:p>
      <w:pPr>
        <w:pStyle w:val="ListBullet"/>
      </w:pPr>
      <w:r>
        <w:rPr>
          <w:color w:val="666666"/>
          <w:sz w:val="18"/>
        </w:rPr>
        <w:t>Formwork system and striking times.</w:t>
      </w:r>
    </w:p>
    <w:p>
      <w:pPr>
        <w:pStyle w:val="ListBullet"/>
      </w:pPr>
      <w:r>
        <w:rPr>
          <w:color w:val="666666"/>
          <w:sz w:val="18"/>
        </w:rPr>
        <w:t>Rebar placement, cover, and lap lengths.</w:t>
      </w:r>
    </w:p>
    <w:p>
      <w:pPr>
        <w:pStyle w:val="ListBullet"/>
      </w:pPr>
      <w:r>
        <w:rPr>
          <w:color w:val="666666"/>
          <w:sz w:val="18"/>
        </w:rPr>
        <w:t>Pre-pour inspection checklist.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