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Structural Steel Erection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S10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Erection Sequence</w:t>
      </w:r>
    </w:p>
    <w:p>
      <w:pPr>
        <w:pStyle w:val="ListBullet"/>
      </w:pPr>
      <w:r>
        <w:rPr>
          <w:color w:val="666666"/>
          <w:sz w:val="18"/>
        </w:rPr>
        <w:t>Column-beam connection sequence.</w:t>
      </w:r>
    </w:p>
    <w:p>
      <w:pPr>
        <w:pStyle w:val="ListBullet"/>
      </w:pPr>
      <w:r>
        <w:rPr>
          <w:color w:val="666666"/>
          <w:sz w:val="18"/>
        </w:rPr>
        <w:t>Temporary bracing requirements.</w:t>
      </w:r>
    </w:p>
    <w:p>
      <w:pPr>
        <w:pStyle w:val="ListBullet"/>
      </w:pPr>
      <w:r>
        <w:rPr>
          <w:color w:val="666666"/>
          <w:sz w:val="18"/>
        </w:rPr>
        <w:t>Bolt torquing / welding sequence.</w:t>
      </w:r>
    </w:p>
    <w:p>
      <w:pPr>
        <w:pStyle w:val="Heading2"/>
      </w:pPr>
      <w:r>
        <w:t>6. Lifting Plan</w:t>
      </w:r>
    </w:p>
    <w:p>
      <w:pPr>
        <w:pStyle w:val="ListBullet"/>
      </w:pPr>
      <w:r>
        <w:rPr>
          <w:color w:val="666666"/>
          <w:sz w:val="18"/>
        </w:rPr>
        <w:t>Crane capacity and positioning.</w:t>
      </w:r>
    </w:p>
    <w:p>
      <w:pPr>
        <w:pStyle w:val="ListBullet"/>
      </w:pPr>
      <w:r>
        <w:rPr>
          <w:color w:val="666666"/>
          <w:sz w:val="18"/>
        </w:rPr>
        <w:t>Rigging arrangement.</w:t>
      </w:r>
    </w:p>
    <w:p>
      <w:pPr>
        <w:pStyle w:val="ListBullet"/>
      </w:pPr>
      <w:r>
        <w:rPr>
          <w:color w:val="666666"/>
          <w:sz w:val="18"/>
        </w:rPr>
        <w:t>Exclusion zone and safety measures.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