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MEP Installation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S16-21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Services Coordination</w:t>
      </w:r>
    </w:p>
    <w:p>
      <w:pPr>
        <w:pStyle w:val="ListBullet"/>
      </w:pPr>
      <w:r>
        <w:rPr>
          <w:color w:val="666666"/>
          <w:sz w:val="18"/>
        </w:rPr>
        <w:t>BIM coordination status.</w:t>
      </w:r>
    </w:p>
    <w:p>
      <w:pPr>
        <w:pStyle w:val="ListBullet"/>
      </w:pPr>
      <w:r>
        <w:rPr>
          <w:color w:val="666666"/>
          <w:sz w:val="18"/>
        </w:rPr>
        <w:t>Service routes and priority.</w:t>
      </w:r>
    </w:p>
    <w:p>
      <w:pPr>
        <w:pStyle w:val="ListBullet"/>
      </w:pPr>
      <w:r>
        <w:rPr>
          <w:color w:val="666666"/>
          <w:sz w:val="18"/>
        </w:rPr>
        <w:t>Ceiling void allocation.</w:t>
      </w:r>
    </w:p>
    <w:p>
      <w:pPr>
        <w:pStyle w:val="Heading2"/>
      </w:pPr>
      <w:r>
        <w:t>6. Installation Sequence</w:t>
      </w:r>
    </w:p>
    <w:p>
      <w:pPr>
        <w:pStyle w:val="ListBullet"/>
      </w:pPr>
      <w:r>
        <w:rPr>
          <w:color w:val="666666"/>
          <w:sz w:val="18"/>
        </w:rPr>
        <w:t>First fix / rough-in.</w:t>
      </w:r>
    </w:p>
    <w:p>
      <w:pPr>
        <w:pStyle w:val="ListBullet"/>
      </w:pPr>
      <w:r>
        <w:rPr>
          <w:color w:val="666666"/>
          <w:sz w:val="18"/>
        </w:rPr>
        <w:t>Second fix / finishing.</w:t>
      </w:r>
    </w:p>
    <w:p>
      <w:pPr>
        <w:pStyle w:val="ListBullet"/>
      </w:pPr>
      <w:r>
        <w:rPr>
          <w:color w:val="666666"/>
          <w:sz w:val="18"/>
        </w:rPr>
        <w:t>Testing and commissioning reference.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