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Road &amp; Infrastructure Works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S6, S14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Subgrade Preparation</w:t>
      </w:r>
    </w:p>
    <w:p>
      <w:pPr>
        <w:pStyle w:val="ListBullet"/>
      </w:pPr>
      <w:r>
        <w:rPr>
          <w:color w:val="666666"/>
          <w:sz w:val="18"/>
        </w:rPr>
        <w:t>CBR requirements.</w:t>
      </w:r>
    </w:p>
    <w:p>
      <w:pPr>
        <w:pStyle w:val="ListBullet"/>
      </w:pPr>
      <w:r>
        <w:rPr>
          <w:color w:val="666666"/>
          <w:sz w:val="18"/>
        </w:rPr>
        <w:t>Compaction standards.</w:t>
      </w:r>
    </w:p>
    <w:p>
      <w:pPr>
        <w:pStyle w:val="ListBullet"/>
      </w:pPr>
      <w:r>
        <w:rPr>
          <w:color w:val="666666"/>
          <w:sz w:val="18"/>
        </w:rPr>
        <w:t>Layer thicknesses.</w:t>
      </w:r>
    </w:p>
    <w:p>
      <w:pPr>
        <w:pStyle w:val="Heading2"/>
      </w:pPr>
      <w:r>
        <w:t>6. Pavement Construction</w:t>
      </w:r>
    </w:p>
    <w:p>
      <w:pPr>
        <w:pStyle w:val="ListBullet"/>
      </w:pPr>
      <w:r>
        <w:rPr>
          <w:color w:val="666666"/>
          <w:sz w:val="18"/>
        </w:rPr>
        <w:t>Base course / sub-base.</w:t>
      </w:r>
    </w:p>
    <w:p>
      <w:pPr>
        <w:pStyle w:val="ListBullet"/>
      </w:pPr>
      <w:r>
        <w:rPr>
          <w:color w:val="666666"/>
          <w:sz w:val="18"/>
        </w:rPr>
        <w:t>Asphalt / concrete pavement.</w:t>
      </w:r>
    </w:p>
    <w:p>
      <w:pPr>
        <w:pStyle w:val="ListBullet"/>
      </w:pPr>
      <w:r>
        <w:rPr>
          <w:color w:val="666666"/>
          <w:sz w:val="18"/>
        </w:rPr>
        <w:t>Line marking and signage.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