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HOUSE OF ARCHITECTURE</w:t>
              <w:br/>
              <w:t>&amp; INTERIORS</w:t>
            </w:r>
          </w:p>
        </w:tc>
        <w:tc>
          <w:tcPr>
            <w:tcW w:type="dxa" w:w="3211"/>
            <w:vAlign w:val="center"/>
            <w:shd w:fill="1E2761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1E2761"/>
                <w:sz w:val="24"/>
              </w:rPr>
              <w:t>METHOD STATEMENT</w:t>
              <w:br/>
              <w:t>Temporary Works</w:t>
            </w:r>
          </w:p>
        </w:tc>
        <w:tc>
          <w:tcPr>
            <w:tcW w:type="dxa" w:w="3211"/>
            <w:vAlign w:val="center"/>
            <w:shd w:fill="F2F2F2" w:val="clea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/>
                <w:color w:val="D4A537"/>
                <w:sz w:val="18"/>
              </w:rPr>
              <w:t>ARADA</w:t>
              <w:br/>
              <w:t>GOVERNANCE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Document Ref: [Project]-C-[Disc]-[Seq]-R0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Revision: 0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Date: ___/___/______</w:t>
            </w:r>
          </w:p>
        </w:tc>
      </w:tr>
      <w:tr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Project: ________________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Contract No: ____________</w:t>
            </w:r>
          </w:p>
        </w:tc>
        <w:tc>
          <w:tcPr>
            <w:tcW w:type="dxa" w:w="3211"/>
            <w:vAlign w:val="center"/>
            <w:tcBorders>
              <w:top w:val="single" w:sz="4" w:color="1E2761"/>
              <w:left w:val="single" w:sz="4" w:color="1E2761"/>
              <w:bottom w:val="single" w:sz="4" w:color="1E2761"/>
              <w:right w:val="single" w:sz="4" w:color="1E2761"/>
            </w:tcBorders>
          </w:tcPr>
          <w:p>
            <w:pPr>
              <w:jc w:val="righ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Category: C — Method Statements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Name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Project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 Title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Employer's Representative (ER)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HAI / ARADA Governance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Lead Consultant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Contractor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Number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[Project]-[Cat]-[Disc]-[Seq]-[Rev]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Submittal Date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___/___/______</w:t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Discipline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  <w:tr>
        <w:tc>
          <w:tcPr>
            <w:tcW w:type="dxa" w:w="3600"/>
            <w:vAlign w:val="center"/>
            <w:shd w:fill="E8EDF5" w:val="clea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1E2761"/>
                <w:sz w:val="18"/>
              </w:rPr>
              <w:t>Package / Zone</w:t>
            </w:r>
          </w:p>
        </w:tc>
        <w:tc>
          <w:tcPr>
            <w:tcW w:type="dxa" w:w="604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</w:r>
          </w:p>
        </w:tc>
      </w:tr>
    </w:tbl>
    <w:p/>
    <w:p>
      <w:pPr>
        <w:pStyle w:val="Heading2"/>
      </w:pPr>
      <w:r>
        <w:t>1. Applicable Standards &amp; References</w:t>
      </w:r>
    </w:p>
    <w:p>
      <w:pPr>
        <w:pStyle w:val="ListBullet"/>
      </w:pPr>
      <w:r>
        <w:rPr>
          <w:sz w:val="18"/>
        </w:rPr>
        <w:t>FIDIC 1999 Red Book: Cl. 4.1, 8.3</w:t>
      </w:r>
    </w:p>
    <w:p>
      <w:pPr>
        <w:pStyle w:val="ListBullet"/>
      </w:pPr>
      <w:r>
        <w:rPr>
          <w:sz w:val="18"/>
        </w:rPr>
        <w:t>QCS 2014: QCS S5</w:t>
      </w:r>
    </w:p>
    <w:p>
      <w:pPr>
        <w:pStyle w:val="ListBullet"/>
      </w:pPr>
      <w:r>
        <w:rPr>
          <w:sz w:val="18"/>
        </w:rPr>
        <w:t>Project Specification (relevant sections)</w:t>
      </w:r>
    </w:p>
    <w:p>
      <w:pPr>
        <w:pStyle w:val="ListBullet"/>
      </w:pPr>
      <w:r>
        <w:rPr>
          <w:sz w:val="18"/>
        </w:rPr>
        <w:t>Approved Drawings (list drawing numbers)</w:t>
      </w:r>
    </w:p>
    <w:p>
      <w:pPr>
        <w:pStyle w:val="Heading2"/>
      </w:pPr>
      <w:r>
        <w:t>2. Scope of Works</w:t>
      </w:r>
    </w:p>
    <w:p>
      <w:pPr>
        <w:pStyle w:val="ListBullet"/>
      </w:pPr>
      <w:r>
        <w:rPr>
          <w:color w:val="666666"/>
          <w:sz w:val="18"/>
        </w:rPr>
        <w:t>Describe the scope and extent of works covered by this method statement.</w:t>
      </w:r>
    </w:p>
    <w:p>
      <w:pPr>
        <w:pStyle w:val="ListBullet"/>
      </w:pPr>
      <w:r>
        <w:rPr>
          <w:color w:val="666666"/>
          <w:sz w:val="18"/>
        </w:rPr>
        <w:t>Define work areas / zones / levels affected.</w:t>
      </w:r>
    </w:p>
    <w:p>
      <w:pPr>
        <w:pStyle w:val="ListBullet"/>
      </w:pPr>
      <w:r>
        <w:rPr>
          <w:color w:val="666666"/>
          <w:sz w:val="18"/>
        </w:rPr>
        <w:t>State any interface with other trades or packages.</w:t>
      </w:r>
    </w:p>
    <w:p>
      <w:pPr>
        <w:pStyle w:val="Heading2"/>
      </w:pPr>
      <w:r>
        <w:t>3. Resources</w:t>
      </w:r>
    </w:p>
    <w:p>
      <w:pPr>
        <w:pStyle w:val="ListBullet"/>
      </w:pPr>
      <w:r>
        <w:rPr>
          <w:color w:val="666666"/>
          <w:sz w:val="18"/>
        </w:rPr>
        <w:t>Labour: List key personnel and number of workers by trade.</w:t>
      </w:r>
    </w:p>
    <w:p>
      <w:pPr>
        <w:pStyle w:val="ListBullet"/>
      </w:pPr>
      <w:r>
        <w:rPr>
          <w:color w:val="666666"/>
          <w:sz w:val="18"/>
        </w:rPr>
        <w:t>Plant &amp; Equipment: List all equipment, capacity, certification status.</w:t>
      </w:r>
    </w:p>
    <w:p>
      <w:pPr>
        <w:pStyle w:val="ListBullet"/>
      </w:pPr>
      <w:r>
        <w:rPr>
          <w:color w:val="666666"/>
          <w:sz w:val="18"/>
        </w:rPr>
        <w:t>Materials: Reference approved material submittals.</w:t>
      </w:r>
    </w:p>
    <w:p>
      <w:pPr>
        <w:pStyle w:val="Heading2"/>
      </w:pPr>
      <w:r>
        <w:t>4. Work Procedure (Step-by-Step)</w:t>
      </w:r>
    </w:p>
    <w:p>
      <w:pPr>
        <w:pStyle w:val="ListBullet"/>
      </w:pPr>
      <w:r>
        <w:rPr>
          <w:color w:val="666666"/>
          <w:sz w:val="18"/>
        </w:rPr>
        <w:t>Step 1: [Preparatory works / site clearance / mobilisation]</w:t>
      </w:r>
    </w:p>
    <w:p>
      <w:pPr>
        <w:pStyle w:val="ListBullet"/>
      </w:pPr>
      <w:r>
        <w:rPr>
          <w:color w:val="666666"/>
          <w:sz w:val="18"/>
        </w:rPr>
        <w:t>Step 2: [Setting out / survey / marking]</w:t>
      </w:r>
    </w:p>
    <w:p>
      <w:pPr>
        <w:pStyle w:val="ListBullet"/>
      </w:pPr>
      <w:r>
        <w:rPr>
          <w:color w:val="666666"/>
          <w:sz w:val="18"/>
        </w:rPr>
        <w:t>Step 3: [Primary activity description]</w:t>
      </w:r>
    </w:p>
    <w:p>
      <w:pPr>
        <w:pStyle w:val="ListBullet"/>
      </w:pPr>
      <w:r>
        <w:rPr>
          <w:color w:val="666666"/>
          <w:sz w:val="18"/>
        </w:rPr>
        <w:t>Step 4: [Secondary/follow-on activities]</w:t>
      </w:r>
    </w:p>
    <w:p>
      <w:pPr>
        <w:pStyle w:val="ListBullet"/>
      </w:pPr>
      <w:r>
        <w:rPr>
          <w:color w:val="666666"/>
          <w:sz w:val="18"/>
        </w:rPr>
        <w:t>Step 5: [Quality checks / hold points]</w:t>
      </w:r>
    </w:p>
    <w:p>
      <w:pPr>
        <w:pStyle w:val="ListBullet"/>
      </w:pPr>
      <w:r>
        <w:rPr>
          <w:color w:val="666666"/>
          <w:sz w:val="18"/>
        </w:rPr>
        <w:t>Step 6: [Clean-up / demobilisation of area]</w:t>
      </w:r>
    </w:p>
    <w:p>
      <w:pPr>
        <w:pStyle w:val="Heading2"/>
      </w:pPr>
      <w:r>
        <w:t>5. Design Certification</w:t>
      </w:r>
    </w:p>
    <w:p>
      <w:pPr>
        <w:pStyle w:val="ListBullet"/>
      </w:pPr>
      <w:r>
        <w:rPr>
          <w:color w:val="666666"/>
          <w:sz w:val="18"/>
        </w:rPr>
        <w:t>Temporary works design by competent engineer.</w:t>
      </w:r>
    </w:p>
    <w:p>
      <w:pPr>
        <w:pStyle w:val="ListBullet"/>
      </w:pPr>
      <w:r>
        <w:rPr>
          <w:color w:val="666666"/>
          <w:sz w:val="18"/>
        </w:rPr>
        <w:t>Independent check certificate.</w:t>
      </w:r>
    </w:p>
    <w:p>
      <w:pPr>
        <w:pStyle w:val="ListBullet"/>
      </w:pPr>
      <w:r>
        <w:rPr>
          <w:color w:val="666666"/>
          <w:sz w:val="18"/>
        </w:rPr>
        <w:t>Load calculations.</w:t>
      </w:r>
    </w:p>
    <w:p>
      <w:pPr>
        <w:pStyle w:val="Heading2"/>
      </w:pPr>
      <w:r>
        <w:t>6. Installation &amp; Removal</w:t>
      </w:r>
    </w:p>
    <w:p>
      <w:pPr>
        <w:pStyle w:val="ListBullet"/>
      </w:pPr>
      <w:r>
        <w:rPr>
          <w:color w:val="666666"/>
          <w:sz w:val="18"/>
        </w:rPr>
        <w:t>Erection sequence.</w:t>
      </w:r>
    </w:p>
    <w:p>
      <w:pPr>
        <w:pStyle w:val="ListBullet"/>
      </w:pPr>
      <w:r>
        <w:rPr>
          <w:color w:val="666666"/>
          <w:sz w:val="18"/>
        </w:rPr>
        <w:t>Monitoring during use.</w:t>
      </w:r>
    </w:p>
    <w:p>
      <w:pPr>
        <w:pStyle w:val="ListBullet"/>
      </w:pPr>
      <w:r>
        <w:rPr>
          <w:color w:val="666666"/>
          <w:sz w:val="18"/>
        </w:rPr>
        <w:t>Dismantling sequence and safety.</w:t>
      </w:r>
    </w:p>
    <w:p>
      <w:pPr>
        <w:pStyle w:val="Heading2"/>
      </w:pPr>
      <w:r>
        <w:t>7. Quality Control &amp; Hold Points</w:t>
      </w:r>
    </w:p>
    <w:p>
      <w:pPr>
        <w:pStyle w:val="ListBullet"/>
      </w:pPr>
      <w:r>
        <w:rPr>
          <w:color w:val="666666"/>
          <w:sz w:val="18"/>
        </w:rPr>
        <w:t>Define inspection hold points (H) and witness points (W).</w:t>
      </w:r>
    </w:p>
    <w:p>
      <w:pPr>
        <w:pStyle w:val="ListBullet"/>
      </w:pPr>
      <w:r>
        <w:rPr>
          <w:color w:val="666666"/>
          <w:sz w:val="18"/>
        </w:rPr>
        <w:t>Reference applicable ITP (Inspection &amp; Test Plan).</w:t>
      </w:r>
    </w:p>
    <w:p>
      <w:pPr>
        <w:pStyle w:val="ListBullet"/>
      </w:pPr>
      <w:r>
        <w:rPr>
          <w:color w:val="666666"/>
          <w:sz w:val="18"/>
        </w:rPr>
        <w:t>State acceptance criteria per specification.</w:t>
      </w:r>
    </w:p>
    <w:p>
      <w:pPr>
        <w:pStyle w:val="Heading2"/>
      </w:pPr>
      <w:r>
        <w:t>8. Health, Safety &amp; Environment</w:t>
      </w:r>
    </w:p>
    <w:p>
      <w:pPr>
        <w:pStyle w:val="ListBullet"/>
      </w:pPr>
      <w:r>
        <w:rPr>
          <w:color w:val="666666"/>
          <w:sz w:val="18"/>
        </w:rPr>
        <w:t>Risk Assessment reference number: RA-[number]</w:t>
      </w:r>
    </w:p>
    <w:p>
      <w:pPr>
        <w:pStyle w:val="ListBullet"/>
      </w:pPr>
      <w:r>
        <w:rPr>
          <w:color w:val="666666"/>
          <w:sz w:val="18"/>
        </w:rPr>
        <w:t>Required PPE for this activity.</w:t>
      </w:r>
    </w:p>
    <w:p>
      <w:pPr>
        <w:pStyle w:val="ListBullet"/>
      </w:pPr>
      <w:r>
        <w:rPr>
          <w:color w:val="666666"/>
          <w:sz w:val="18"/>
        </w:rPr>
        <w:t>Permit to Work requirements (if applicable).</w:t>
      </w:r>
    </w:p>
    <w:p>
      <w:pPr>
        <w:pStyle w:val="ListBullet"/>
      </w:pPr>
      <w:r>
        <w:rPr>
          <w:color w:val="666666"/>
          <w:sz w:val="18"/>
        </w:rPr>
        <w:t>Environmental controls (dust, noise, waste).</w:t>
      </w:r>
    </w:p>
    <w:p>
      <w:pPr>
        <w:pStyle w:val="Heading2"/>
      </w:pPr>
      <w:r>
        <w:t>9. Programme &amp; Duration</w:t>
      </w:r>
    </w:p>
    <w:p>
      <w:pPr>
        <w:pStyle w:val="ListBullet"/>
      </w:pPr>
      <w:r>
        <w:rPr>
          <w:color w:val="666666"/>
          <w:sz w:val="18"/>
        </w:rPr>
        <w:t>Planned start date: ___/___/______</w:t>
      </w:r>
    </w:p>
    <w:p>
      <w:pPr>
        <w:pStyle w:val="ListBullet"/>
      </w:pPr>
      <w:r>
        <w:rPr>
          <w:color w:val="666666"/>
          <w:sz w:val="18"/>
        </w:rPr>
        <w:t>Planned completion date: ___/___/______</w:t>
      </w:r>
    </w:p>
    <w:p>
      <w:pPr>
        <w:pStyle w:val="ListBullet"/>
      </w:pPr>
      <w:r>
        <w:rPr>
          <w:color w:val="666666"/>
          <w:sz w:val="18"/>
        </w:rPr>
        <w:t>Duration: ___ days</w:t>
      </w:r>
    </w:p>
    <w:p>
      <w:pPr>
        <w:pStyle w:val="ListBullet"/>
      </w:pPr>
      <w:r>
        <w:rPr>
          <w:color w:val="666666"/>
          <w:sz w:val="18"/>
        </w:rPr>
        <w:t>Preceding activities / dependencies.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Prepared By</w:t>
              <w:br/>
              <w:t>(Contractor)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Reviewed &amp; Approved By</w:t>
              <w:br/>
              <w:t>(Lead Consultant)</w:t>
            </w:r>
          </w:p>
        </w:tc>
        <w:tc>
          <w:tcPr>
            <w:tcW w:type="dxa" w:w="3216"/>
            <w:vAlign w:val="center"/>
            <w:shd w:fill="1E2761" w:val="clea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Endorsed By</w:t>
              <w:br/>
              <w:t>(ER / HAI)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Name: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Signature: </w:t>
            </w:r>
          </w:p>
        </w:tc>
      </w:tr>
      <w:tr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  <w:tc>
          <w:tcPr>
            <w:tcW w:type="dxa" w:w="3216"/>
            <w:vAlign w:val="center"/>
            <w:tcBorders>
              <w:top w:val="single" w:sz="2" w:color="1E2761"/>
              <w:bottom w:val="single" w:sz="2" w:color="1E2761"/>
              <w:left w:val="single" w:sz="2" w:color="1E2761"/>
              <w:right w:val="single" w:sz="2" w:color="1E2761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16"/>
              </w:rPr>
              <w:t xml:space="preserve">Date: </w:t>
            </w:r>
          </w:p>
        </w:tc>
      </w:tr>
    </w:tbl>
    <w:p/>
    <w:p>
      <w:r>
        <w:rPr>
          <w:b/>
          <w:color w:val="1E2761"/>
          <w:sz w:val="22"/>
        </w:rPr>
        <w:t>REVIEW DECISION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A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— No comments, proceed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B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Approved with Comments — Proceed, incorporate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C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Revise &amp; Resubmit — Do NOT proceed, address comments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D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Rejected — Fundamental non-compliance</w:t>
            </w:r>
          </w:p>
        </w:tc>
      </w:tr>
      <w:tr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color w:val="36454F"/>
                <w:sz w:val="20"/>
              </w:rPr>
              <w:t>[  ]</w:t>
            </w:r>
          </w:p>
        </w:tc>
        <w:tc>
          <w:tcPr>
            <w:tcW w:type="dxa" w:w="720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1E2761"/>
                <w:sz w:val="20"/>
              </w:rPr>
              <w:t>E</w:t>
            </w:r>
          </w:p>
        </w:tc>
        <w:tc>
          <w:tcPr>
            <w:tcW w:type="dxa" w:w="8208"/>
            <w:vAlign w:val="center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color w:val="36454F"/>
                <w:sz w:val="18"/>
              </w:rPr>
              <w:t>For Information Only — No approval action required</w:t>
            </w:r>
          </w:p>
        </w:tc>
      </w:tr>
    </w:tbl>
    <w:p>
      <w:pPr>
        <w:jc w:val="center"/>
      </w:pPr>
      <w:r>
        <w:rPr>
          <w:color w:val="999999"/>
          <w:sz w:val="14"/>
        </w:rPr>
        <w:t>HAI | ARADA Governance | SkyStruct Platform | Confidential</w:t>
      </w:r>
    </w:p>
    <w:sectPr w:rsidR="00FC693F" w:rsidRPr="0006063C" w:rsidSect="00034616">
      <w:pgSz w:w="12240" w:h="15840"/>
      <w:pgMar w:top="1152" w:right="1296" w:bottom="86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6454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1E276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E276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1E276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