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METHOD STATEMENT</w:t>
              <w:br/>
              <w:t>Traffic Management</w:t>
            </w:r>
          </w:p>
        </w:tc>
        <w:tc>
          <w:tcPr>
            <w:tcW w:type="dxa" w:w="3216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6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p>
      <w:pPr>
        <w:pStyle w:val="Heading2"/>
      </w:pPr>
      <w:r>
        <w:t>1.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works.</w:t>
      </w:r>
    </w:p>
    <w:p>
      <w:pPr>
        <w:pStyle w:val="Heading2"/>
      </w:pPr>
      <w:r>
        <w:t>2. Resources</w:t>
      </w:r>
    </w:p>
    <w:p>
      <w:pPr>
        <w:pStyle w:val="ListBullet"/>
      </w:pPr>
      <w:r>
        <w:rPr>
          <w:color w:val="666666"/>
          <w:sz w:val="18"/>
        </w:rPr>
        <w:t>Labour, plant, materials.</w:t>
      </w:r>
    </w:p>
    <w:p>
      <w:pPr>
        <w:pStyle w:val="Heading2"/>
      </w:pPr>
      <w:r>
        <w:t>3. Work Procedure</w:t>
      </w:r>
    </w:p>
    <w:p>
      <w:pPr>
        <w:pStyle w:val="ListBullet"/>
      </w:pPr>
      <w:r>
        <w:rPr>
          <w:color w:val="666666"/>
          <w:sz w:val="18"/>
        </w:rPr>
        <w:t>Step-by-step procedure.</w:t>
      </w:r>
    </w:p>
    <w:p>
      <w:pPr>
        <w:pStyle w:val="Heading2"/>
      </w:pPr>
      <w:r>
        <w:t>4. Traffic Routes</w:t>
      </w:r>
    </w:p>
    <w:p>
      <w:pPr>
        <w:pStyle w:val="ListBullet"/>
      </w:pPr>
      <w:r>
        <w:rPr>
          <w:color w:val="666666"/>
          <w:sz w:val="18"/>
        </w:rPr>
        <w:t>Identify existing traffic flow.</w:t>
      </w:r>
    </w:p>
    <w:p>
      <w:pPr>
        <w:pStyle w:val="ListBullet"/>
      </w:pPr>
      <w:r>
        <w:rPr>
          <w:color w:val="666666"/>
          <w:sz w:val="18"/>
        </w:rPr>
        <w:t>Proposed diversions.</w:t>
      </w:r>
    </w:p>
    <w:p>
      <w:pPr>
        <w:pStyle w:val="ListBullet"/>
      </w:pPr>
      <w:r>
        <w:rPr>
          <w:color w:val="666666"/>
          <w:sz w:val="18"/>
        </w:rPr>
        <w:t>Signage plan.</w:t>
      </w:r>
    </w:p>
    <w:p>
      <w:pPr>
        <w:pStyle w:val="Heading2"/>
      </w:pPr>
      <w:r>
        <w:t>5. Safety Measures</w:t>
      </w:r>
    </w:p>
    <w:p>
      <w:pPr>
        <w:pStyle w:val="ListBullet"/>
      </w:pPr>
      <w:r>
        <w:rPr>
          <w:color w:val="666666"/>
          <w:sz w:val="18"/>
        </w:rPr>
        <w:t>Speed restrictions.</w:t>
      </w:r>
    </w:p>
    <w:p>
      <w:pPr>
        <w:pStyle w:val="ListBullet"/>
      </w:pPr>
      <w:r>
        <w:rPr>
          <w:color w:val="666666"/>
          <w:sz w:val="18"/>
        </w:rPr>
        <w:t>Barriers and delineators.</w:t>
      </w:r>
    </w:p>
    <w:p>
      <w:pPr>
        <w:pStyle w:val="ListBullet"/>
      </w:pPr>
      <w:r>
        <w:rPr>
          <w:color w:val="666666"/>
          <w:sz w:val="18"/>
        </w:rPr>
        <w:t>Flagmen / traffic marshals.</w:t>
      </w:r>
    </w:p>
    <w:p>
      <w:pPr>
        <w:pStyle w:val="Heading2"/>
      </w:pPr>
      <w:r>
        <w:t>6. HSE</w:t>
      </w:r>
    </w:p>
    <w:p>
      <w:pPr>
        <w:pStyle w:val="ListBullet"/>
      </w:pPr>
      <w:r>
        <w:rPr>
          <w:color w:val="666666"/>
          <w:sz w:val="18"/>
        </w:rPr>
        <w:t>Risk assessment, PPE, permits.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3216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</w:t>
            </w:r>
          </w:p>
        </w:tc>
      </w:tr>
    </w:tbl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