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MOBILISATION PLAN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[Project]-F-PRG-MOB-R0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F — Progress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Purpose &amp; Scope</w:t>
      </w:r>
    </w:p>
    <w:p>
      <w:pPr>
        <w:pStyle w:val="ListBullet"/>
      </w:pPr>
      <w:r>
        <w:rPr>
          <w:color w:val="666666"/>
          <w:sz w:val="18"/>
        </w:rPr>
        <w:t>Define scope of mobilisation.</w:t>
      </w:r>
    </w:p>
    <w:p>
      <w:pPr>
        <w:pStyle w:val="ListBullet"/>
      </w:pPr>
      <w:r>
        <w:rPr>
          <w:color w:val="666666"/>
          <w:sz w:val="18"/>
        </w:rPr>
        <w:t>Applicable contract clause: FIDIC Cl. 8.1 (Commencement of Works).</w:t>
      </w:r>
    </w:p>
    <w:p>
      <w:pPr>
        <w:pStyle w:val="Heading2"/>
      </w:pPr>
      <w:r>
        <w:t>2. Mobilisation Programme</w:t>
      </w:r>
    </w:p>
    <w:p>
      <w:pPr>
        <w:pStyle w:val="ListBullet"/>
      </w:pPr>
      <w:r>
        <w:rPr>
          <w:color w:val="666666"/>
          <w:sz w:val="18"/>
        </w:rPr>
        <w:t>Key milestones and dates.</w:t>
      </w:r>
    </w:p>
    <w:p>
      <w:pPr>
        <w:pStyle w:val="ListBullet"/>
      </w:pPr>
      <w:r>
        <w:rPr>
          <w:color w:val="666666"/>
          <w:sz w:val="18"/>
        </w:rPr>
        <w:t>Gantt chart / bar chart (attach separately).</w:t>
      </w:r>
    </w:p>
    <w:p>
      <w:pPr>
        <w:pStyle w:val="Heading2"/>
      </w:pPr>
      <w:r>
        <w:t>3. Site Establishment</w:t>
      </w:r>
    </w:p>
    <w:p>
      <w:pPr>
        <w:pStyle w:val="ListBullet"/>
      </w:pPr>
      <w:r>
        <w:rPr>
          <w:color w:val="666666"/>
          <w:sz w:val="18"/>
        </w:rPr>
        <w:t>Site offices — location, type, capacity.</w:t>
      </w:r>
    </w:p>
    <w:p>
      <w:pPr>
        <w:pStyle w:val="ListBullet"/>
      </w:pPr>
      <w:r>
        <w:rPr>
          <w:color w:val="666666"/>
          <w:sz w:val="18"/>
        </w:rPr>
        <w:t>Temporary facilities (welfare, storage, workshops).</w:t>
      </w:r>
    </w:p>
    <w:p>
      <w:pPr>
        <w:pStyle w:val="ListBullet"/>
      </w:pPr>
      <w:r>
        <w:rPr>
          <w:color w:val="666666"/>
          <w:sz w:val="18"/>
        </w:rPr>
        <w:t>Utilities connection (water, power, telecom).</w:t>
      </w:r>
    </w:p>
    <w:p>
      <w:pPr>
        <w:pStyle w:val="ListBullet"/>
      </w:pPr>
      <w:r>
        <w:rPr>
          <w:color w:val="666666"/>
          <w:sz w:val="18"/>
        </w:rPr>
        <w:t>Site security and hoarding.</w:t>
      </w:r>
    </w:p>
    <w:p>
      <w:pPr>
        <w:pStyle w:val="Heading2"/>
      </w:pPr>
      <w:r>
        <w:t>4. Personnel Mobilisation</w:t>
      </w:r>
    </w:p>
    <w:p>
      <w:pPr>
        <w:pStyle w:val="ListBullet"/>
      </w:pPr>
      <w:r>
        <w:rPr>
          <w:color w:val="666666"/>
          <w:sz w:val="18"/>
        </w:rPr>
        <w:t>Organisation chart.</w:t>
      </w:r>
    </w:p>
    <w:p>
      <w:pPr>
        <w:pStyle w:val="ListBullet"/>
      </w:pPr>
      <w:r>
        <w:rPr>
          <w:color w:val="666666"/>
          <w:sz w:val="18"/>
        </w:rPr>
        <w:t>Key personnel CVs and approvals.</w:t>
      </w:r>
    </w:p>
    <w:p>
      <w:pPr>
        <w:pStyle w:val="ListBullet"/>
      </w:pPr>
      <w:r>
        <w:rPr>
          <w:color w:val="666666"/>
          <w:sz w:val="18"/>
        </w:rPr>
        <w:t>Staffing plan by month.</w:t>
      </w:r>
    </w:p>
    <w:p>
      <w:pPr>
        <w:pStyle w:val="ListBullet"/>
      </w:pPr>
      <w:r>
        <w:rPr>
          <w:color w:val="666666"/>
          <w:sz w:val="18"/>
        </w:rPr>
        <w:t>Visa / work permit status.</w:t>
      </w:r>
    </w:p>
    <w:p>
      <w:pPr>
        <w:pStyle w:val="Heading2"/>
      </w:pPr>
      <w:r>
        <w:t>5. Plant &amp; Equipment</w:t>
      </w:r>
    </w:p>
    <w:p>
      <w:pPr>
        <w:pStyle w:val="ListBullet"/>
      </w:pPr>
      <w:r>
        <w:rPr>
          <w:color w:val="666666"/>
          <w:sz w:val="18"/>
        </w:rPr>
        <w:t>Major plant list.</w:t>
      </w:r>
    </w:p>
    <w:p>
      <w:pPr>
        <w:pStyle w:val="ListBullet"/>
      </w:pPr>
      <w:r>
        <w:rPr>
          <w:color w:val="666666"/>
          <w:sz w:val="18"/>
        </w:rPr>
        <w:t>Mobilisation schedule for each item.</w:t>
      </w:r>
    </w:p>
    <w:p>
      <w:pPr>
        <w:pStyle w:val="ListBullet"/>
      </w:pPr>
      <w:r>
        <w:rPr>
          <w:color w:val="666666"/>
          <w:sz w:val="18"/>
        </w:rPr>
        <w:t>Maintenance and certification status.</w:t>
      </w:r>
    </w:p>
    <w:p>
      <w:pPr>
        <w:pStyle w:val="Heading2"/>
      </w:pPr>
      <w:r>
        <w:t>6. Materials</w:t>
      </w:r>
    </w:p>
    <w:p>
      <w:pPr>
        <w:pStyle w:val="ListBullet"/>
      </w:pPr>
      <w:r>
        <w:rPr>
          <w:color w:val="666666"/>
          <w:sz w:val="18"/>
        </w:rPr>
        <w:t>Initial material procurement schedule.</w:t>
      </w:r>
    </w:p>
    <w:p>
      <w:pPr>
        <w:pStyle w:val="ListBullet"/>
      </w:pPr>
      <w:r>
        <w:rPr>
          <w:color w:val="666666"/>
          <w:sz w:val="18"/>
        </w:rPr>
        <w:t>Long-lead items identified.</w:t>
      </w:r>
    </w:p>
    <w:p>
      <w:pPr>
        <w:pStyle w:val="ListBullet"/>
      </w:pPr>
      <w:r>
        <w:rPr>
          <w:color w:val="666666"/>
          <w:sz w:val="18"/>
        </w:rPr>
        <w:t>Storage and laydown areas.</w:t>
      </w:r>
    </w:p>
    <w:p>
      <w:pPr>
        <w:pStyle w:val="Heading2"/>
      </w:pPr>
      <w:r>
        <w:t>7. Subcontractor Mobilisation</w:t>
      </w:r>
    </w:p>
    <w:p>
      <w:pPr>
        <w:pStyle w:val="ListBullet"/>
      </w:pPr>
      <w:r>
        <w:rPr>
          <w:color w:val="666666"/>
          <w:sz w:val="18"/>
        </w:rPr>
        <w:t>Subcontractor list and status.</w:t>
      </w:r>
    </w:p>
    <w:p>
      <w:pPr>
        <w:pStyle w:val="ListBullet"/>
      </w:pPr>
      <w:r>
        <w:rPr>
          <w:color w:val="666666"/>
          <w:sz w:val="18"/>
        </w:rPr>
        <w:t>Subcontract award schedule.</w:t>
      </w:r>
    </w:p>
    <w:p>
      <w:pPr>
        <w:pStyle w:val="ListBullet"/>
      </w:pPr>
      <w:r>
        <w:rPr>
          <w:color w:val="666666"/>
          <w:sz w:val="18"/>
        </w:rPr>
        <w:t>Subcontractor mobilisation dates.</w:t>
      </w:r>
    </w:p>
    <w:p>
      <w:pPr>
        <w:pStyle w:val="Heading2"/>
      </w:pPr>
      <w:r>
        <w:t>8. Permits &amp; Approvals</w:t>
      </w:r>
    </w:p>
    <w:p>
      <w:pPr>
        <w:pStyle w:val="ListBullet"/>
      </w:pPr>
      <w:r>
        <w:rPr>
          <w:color w:val="666666"/>
          <w:sz w:val="18"/>
        </w:rPr>
        <w:t>Regulatory permits required.</w:t>
      </w:r>
    </w:p>
    <w:p>
      <w:pPr>
        <w:pStyle w:val="ListBullet"/>
      </w:pPr>
      <w:r>
        <w:rPr>
          <w:color w:val="666666"/>
          <w:sz w:val="18"/>
        </w:rPr>
        <w:t>Submission dates and expected approval dates.</w:t>
      </w:r>
    </w:p>
    <w:p>
      <w:pPr>
        <w:pStyle w:val="ListBullet"/>
      </w:pPr>
      <w:r>
        <w:rPr>
          <w:color w:val="666666"/>
          <w:sz w:val="18"/>
        </w:rPr>
        <w:t>Authority inspection schedule.</w:t>
      </w:r>
    </w:p>
    <w:p>
      <w:pPr>
        <w:pStyle w:val="Heading2"/>
      </w:pPr>
      <w:r>
        <w:t>9. Health &amp; Safety Mobilisation</w:t>
      </w:r>
    </w:p>
    <w:p>
      <w:pPr>
        <w:pStyle w:val="ListBullet"/>
      </w:pPr>
      <w:r>
        <w:rPr>
          <w:color w:val="666666"/>
          <w:sz w:val="18"/>
        </w:rPr>
        <w:t>HSE plan status.</w:t>
      </w:r>
    </w:p>
    <w:p>
      <w:pPr>
        <w:pStyle w:val="ListBullet"/>
      </w:pPr>
      <w:r>
        <w:rPr>
          <w:color w:val="666666"/>
          <w:sz w:val="18"/>
        </w:rPr>
        <w:t>Emergency facilities.</w:t>
      </w:r>
    </w:p>
    <w:p>
      <w:pPr>
        <w:pStyle w:val="ListBullet"/>
      </w:pPr>
      <w:r>
        <w:rPr>
          <w:color w:val="666666"/>
          <w:sz w:val="18"/>
        </w:rPr>
        <w:t>First aid and medical arrangements.</w:t>
      </w:r>
    </w:p>
    <w:p>
      <w:pPr>
        <w:pStyle w:val="ListBullet"/>
      </w:pPr>
      <w:r>
        <w:rPr>
          <w:color w:val="666666"/>
          <w:sz w:val="18"/>
        </w:rPr>
        <w:t>Initial site induction programme.</w:t>
      </w:r>
    </w:p>
    <w:p>
      <w:pPr>
        <w:pStyle w:val="Heading2"/>
      </w:pPr>
      <w:r>
        <w:t>10. Communication &amp; Reporting</w:t>
      </w:r>
    </w:p>
    <w:p>
      <w:pPr>
        <w:pStyle w:val="ListBullet"/>
      </w:pPr>
      <w:r>
        <w:rPr>
          <w:color w:val="666666"/>
          <w:sz w:val="18"/>
        </w:rPr>
        <w:t>Project communication protocol.</w:t>
      </w:r>
    </w:p>
    <w:p>
      <w:pPr>
        <w:pStyle w:val="ListBullet"/>
      </w:pPr>
      <w:r>
        <w:rPr>
          <w:color w:val="666666"/>
          <w:sz w:val="18"/>
        </w:rPr>
        <w:t>Reporting structure during mobilisation.</w:t>
      </w:r>
    </w:p>
    <w:p>
      <w:pPr>
        <w:pStyle w:val="ListBullet"/>
      </w:pPr>
      <w:r>
        <w:rPr>
          <w:color w:val="666666"/>
          <w:sz w:val="18"/>
        </w:rPr>
        <w:t>Key contact list.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