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DELAY ANALYSIS</w:t>
              <w:br/>
              <w:t>REPORT</w:t>
            </w:r>
          </w:p>
        </w:tc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[Project]-F-DEL-[Seq]-R0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F — Progress</w:t>
            </w:r>
          </w:p>
        </w:tc>
      </w:tr>
    </w:tbl>
    <w:p/>
    <w:p>
      <w:pPr>
        <w:pStyle w:val="Heading2"/>
      </w:pPr>
      <w:r>
        <w:t>1. Delay Event Description</w:t>
      </w:r>
    </w:p>
    <w:p>
      <w:pPr>
        <w:pStyle w:val="ListBullet"/>
      </w:pPr>
      <w:r>
        <w:rPr>
          <w:color w:val="666666"/>
          <w:sz w:val="18"/>
        </w:rPr>
        <w:t>Event description.</w:t>
      </w:r>
    </w:p>
    <w:p>
      <w:pPr>
        <w:pStyle w:val="ListBullet"/>
      </w:pPr>
      <w:r>
        <w:rPr>
          <w:color w:val="666666"/>
          <w:sz w:val="18"/>
        </w:rPr>
        <w:t>Date of occurrence.</w:t>
      </w:r>
    </w:p>
    <w:p>
      <w:pPr>
        <w:pStyle w:val="ListBullet"/>
      </w:pPr>
      <w:r>
        <w:rPr>
          <w:color w:val="666666"/>
          <w:sz w:val="18"/>
        </w:rPr>
        <w:t>Duration of delay.</w:t>
      </w:r>
    </w:p>
    <w:p>
      <w:pPr>
        <w:pStyle w:val="Heading2"/>
      </w:pPr>
      <w:r>
        <w:t>2. Contractual Basis</w:t>
      </w:r>
    </w:p>
    <w:p>
      <w:pPr>
        <w:pStyle w:val="ListBullet"/>
      </w:pPr>
      <w:r>
        <w:rPr>
          <w:color w:val="666666"/>
          <w:sz w:val="18"/>
        </w:rPr>
        <w:t>FIDIC Clause reference.</w:t>
      </w:r>
    </w:p>
    <w:p>
      <w:pPr>
        <w:pStyle w:val="ListBullet"/>
      </w:pPr>
      <w:r>
        <w:rPr>
          <w:color w:val="666666"/>
          <w:sz w:val="18"/>
        </w:rPr>
        <w:t>Entitlement basis.</w:t>
      </w:r>
    </w:p>
    <w:p>
      <w:pPr>
        <w:pStyle w:val="Heading2"/>
      </w:pPr>
      <w:r>
        <w:t>3. Programme Analysis</w:t>
      </w:r>
    </w:p>
    <w:p>
      <w:pPr>
        <w:pStyle w:val="ListBullet"/>
      </w:pPr>
      <w:r>
        <w:rPr>
          <w:color w:val="666666"/>
          <w:sz w:val="18"/>
        </w:rPr>
        <w:t>Impacted programme (attach).</w:t>
      </w:r>
    </w:p>
    <w:p>
      <w:pPr>
        <w:pStyle w:val="ListBullet"/>
      </w:pPr>
      <w:r>
        <w:rPr>
          <w:color w:val="666666"/>
          <w:sz w:val="18"/>
        </w:rPr>
        <w:t>Critical path impact.</w:t>
      </w:r>
    </w:p>
    <w:p>
      <w:pPr>
        <w:pStyle w:val="ListBullet"/>
      </w:pPr>
      <w:r>
        <w:rPr>
          <w:color w:val="666666"/>
          <w:sz w:val="18"/>
        </w:rPr>
        <w:t>Time impact analysis method (TIA/Windows/As-Planned vs As-Built).</w:t>
      </w:r>
    </w:p>
    <w:p>
      <w:pPr>
        <w:pStyle w:val="Heading2"/>
      </w:pPr>
      <w:r>
        <w:t>4. Concurrent Delays</w:t>
      </w:r>
    </w:p>
    <w:p>
      <w:pPr>
        <w:pStyle w:val="ListBullet"/>
      </w:pPr>
      <w:r>
        <w:rPr>
          <w:color w:val="666666"/>
          <w:sz w:val="18"/>
        </w:rPr>
        <w:t>Identify any concurrent delays.</w:t>
      </w:r>
    </w:p>
    <w:p>
      <w:pPr>
        <w:pStyle w:val="ListBullet"/>
      </w:pPr>
      <w:r>
        <w:rPr>
          <w:color w:val="666666"/>
          <w:sz w:val="18"/>
        </w:rPr>
        <w:t>Apportionment methodology.</w:t>
      </w:r>
    </w:p>
    <w:p>
      <w:pPr>
        <w:pStyle w:val="Heading2"/>
      </w:pPr>
      <w:r>
        <w:t>5. Mitigation Measures</w:t>
      </w:r>
    </w:p>
    <w:p>
      <w:pPr>
        <w:pStyle w:val="ListBullet"/>
      </w:pPr>
      <w:r>
        <w:rPr>
          <w:color w:val="666666"/>
          <w:sz w:val="18"/>
        </w:rPr>
        <w:t>Actions taken to reduce delay.</w:t>
      </w:r>
    </w:p>
    <w:p>
      <w:pPr>
        <w:pStyle w:val="ListBullet"/>
      </w:pPr>
      <w:r>
        <w:rPr>
          <w:color w:val="666666"/>
          <w:sz w:val="18"/>
        </w:rPr>
        <w:t>Residual delay after mitigation.</w:t>
      </w:r>
    </w:p>
    <w:p>
      <w:pPr>
        <w:pStyle w:val="Heading2"/>
      </w:pPr>
      <w:r>
        <w:t>6. Conclusion</w:t>
      </w:r>
    </w:p>
    <w:p>
      <w:pPr>
        <w:pStyle w:val="ListBullet"/>
      </w:pPr>
      <w:r>
        <w:rPr>
          <w:color w:val="666666"/>
          <w:sz w:val="18"/>
        </w:rPr>
        <w:t>Total delay attributable (days).</w:t>
      </w:r>
    </w:p>
    <w:p>
      <w:pPr>
        <w:pStyle w:val="ListBullet"/>
      </w:pPr>
      <w:r>
        <w:rPr>
          <w:color w:val="666666"/>
          <w:sz w:val="18"/>
        </w:rPr>
        <w:t>Recommendation.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</w:t>
            </w:r>
          </w:p>
        </w:tc>
      </w:tr>
    </w:tbl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