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PROJECT QUALITY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[Project]-D-QA-0001-R0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D — QA/QC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Quality Policy</w:t>
      </w:r>
    </w:p>
    <w:p>
      <w:pPr>
        <w:pStyle w:val="ListBullet"/>
      </w:pPr>
      <w:r>
        <w:rPr>
          <w:color w:val="666666"/>
          <w:sz w:val="18"/>
        </w:rPr>
        <w:t>Company quality policy statement.</w:t>
      </w:r>
    </w:p>
    <w:p>
      <w:pPr>
        <w:pStyle w:val="ListBullet"/>
      </w:pPr>
      <w:r>
        <w:rPr>
          <w:color w:val="666666"/>
          <w:sz w:val="18"/>
        </w:rPr>
        <w:t>Quality objectives for this project.</w:t>
      </w:r>
    </w:p>
    <w:p>
      <w:pPr>
        <w:pStyle w:val="Heading2"/>
      </w:pPr>
      <w:r>
        <w:t>2. Organisation &amp; Responsibilities</w:t>
      </w:r>
    </w:p>
    <w:p>
      <w:pPr>
        <w:pStyle w:val="ListBullet"/>
      </w:pPr>
      <w:r>
        <w:rPr>
          <w:color w:val="666666"/>
          <w:sz w:val="18"/>
        </w:rPr>
        <w:t>Quality organisation chart.</w:t>
      </w:r>
    </w:p>
    <w:p>
      <w:pPr>
        <w:pStyle w:val="ListBullet"/>
      </w:pPr>
      <w:r>
        <w:rPr>
          <w:color w:val="666666"/>
          <w:sz w:val="18"/>
        </w:rPr>
        <w:t>QA/QC Manager responsibilities.</w:t>
      </w:r>
    </w:p>
    <w:p>
      <w:pPr>
        <w:pStyle w:val="ListBullet"/>
      </w:pPr>
      <w:r>
        <w:rPr>
          <w:color w:val="666666"/>
          <w:sz w:val="18"/>
        </w:rPr>
        <w:t>Site QC Engineer responsibilities.</w:t>
      </w:r>
    </w:p>
    <w:p>
      <w:pPr>
        <w:pStyle w:val="Heading2"/>
      </w:pPr>
      <w:r>
        <w:t>3. Document Control</w:t>
      </w:r>
    </w:p>
    <w:p>
      <w:pPr>
        <w:pStyle w:val="ListBullet"/>
      </w:pPr>
      <w:r>
        <w:rPr>
          <w:color w:val="666666"/>
          <w:sz w:val="18"/>
        </w:rPr>
        <w:t>Document numbering system (ref HAI-SSP-035).</w:t>
      </w:r>
    </w:p>
    <w:p>
      <w:pPr>
        <w:pStyle w:val="ListBullet"/>
      </w:pPr>
      <w:r>
        <w:rPr>
          <w:color w:val="666666"/>
          <w:sz w:val="18"/>
        </w:rPr>
        <w:t>Submittal procedure (ref PF-01).</w:t>
      </w:r>
    </w:p>
    <w:p>
      <w:pPr>
        <w:pStyle w:val="ListBullet"/>
      </w:pPr>
      <w:r>
        <w:rPr>
          <w:color w:val="666666"/>
          <w:sz w:val="18"/>
        </w:rPr>
        <w:t>Distribution control.</w:t>
      </w:r>
    </w:p>
    <w:p>
      <w:pPr>
        <w:pStyle w:val="Heading2"/>
      </w:pPr>
      <w:r>
        <w:t>4. Material Control</w:t>
      </w:r>
    </w:p>
    <w:p>
      <w:pPr>
        <w:pStyle w:val="ListBullet"/>
      </w:pPr>
      <w:r>
        <w:rPr>
          <w:color w:val="666666"/>
          <w:sz w:val="18"/>
        </w:rPr>
        <w:t>Material receiving inspection.</w:t>
      </w:r>
    </w:p>
    <w:p>
      <w:pPr>
        <w:pStyle w:val="ListBullet"/>
      </w:pPr>
      <w:r>
        <w:rPr>
          <w:color w:val="666666"/>
          <w:sz w:val="18"/>
        </w:rPr>
        <w:t>Storage and handling.</w:t>
      </w:r>
    </w:p>
    <w:p>
      <w:pPr>
        <w:pStyle w:val="ListBullet"/>
      </w:pPr>
      <w:r>
        <w:rPr>
          <w:color w:val="666666"/>
          <w:sz w:val="18"/>
        </w:rPr>
        <w:t>Traceability requirements.</w:t>
      </w:r>
    </w:p>
    <w:p>
      <w:pPr>
        <w:pStyle w:val="Heading2"/>
      </w:pPr>
      <w:r>
        <w:t>5. Inspection &amp; Testing</w:t>
      </w:r>
    </w:p>
    <w:p>
      <w:pPr>
        <w:pStyle w:val="ListBullet"/>
      </w:pPr>
      <w:r>
        <w:rPr>
          <w:color w:val="666666"/>
          <w:sz w:val="18"/>
        </w:rPr>
        <w:t>ITP development process.</w:t>
      </w:r>
    </w:p>
    <w:p>
      <w:pPr>
        <w:pStyle w:val="ListBullet"/>
      </w:pPr>
      <w:r>
        <w:rPr>
          <w:color w:val="666666"/>
          <w:sz w:val="18"/>
        </w:rPr>
        <w:t>Hold points (H) and witness points (W).</w:t>
      </w:r>
    </w:p>
    <w:p>
      <w:pPr>
        <w:pStyle w:val="ListBullet"/>
      </w:pPr>
      <w:r>
        <w:rPr>
          <w:color w:val="666666"/>
          <w:sz w:val="18"/>
        </w:rPr>
        <w:t>Third-party testing requirements.</w:t>
      </w:r>
    </w:p>
    <w:p>
      <w:pPr>
        <w:pStyle w:val="Heading2"/>
      </w:pPr>
      <w:r>
        <w:t>6. Non-Conformance Management</w:t>
      </w:r>
    </w:p>
    <w:p>
      <w:pPr>
        <w:pStyle w:val="ListBullet"/>
      </w:pPr>
      <w:r>
        <w:rPr>
          <w:color w:val="666666"/>
          <w:sz w:val="18"/>
        </w:rPr>
        <w:t>NCR procedure.</w:t>
      </w:r>
    </w:p>
    <w:p>
      <w:pPr>
        <w:pStyle w:val="ListBullet"/>
      </w:pPr>
      <w:r>
        <w:rPr>
          <w:color w:val="666666"/>
          <w:sz w:val="18"/>
        </w:rPr>
        <w:t>Corrective action process.</w:t>
      </w:r>
    </w:p>
    <w:p>
      <w:pPr>
        <w:pStyle w:val="ListBullet"/>
      </w:pPr>
      <w:r>
        <w:rPr>
          <w:color w:val="666666"/>
          <w:sz w:val="18"/>
        </w:rPr>
        <w:t>Disposition options (rework, accept, reject).</w:t>
      </w:r>
    </w:p>
    <w:p>
      <w:pPr>
        <w:pStyle w:val="Heading2"/>
      </w:pPr>
      <w:r>
        <w:t>7. Calibration</w:t>
      </w:r>
    </w:p>
    <w:p>
      <w:pPr>
        <w:pStyle w:val="ListBullet"/>
      </w:pPr>
      <w:r>
        <w:rPr>
          <w:color w:val="666666"/>
          <w:sz w:val="18"/>
        </w:rPr>
        <w:t>Calibration programme.</w:t>
      </w:r>
    </w:p>
    <w:p>
      <w:pPr>
        <w:pStyle w:val="ListBullet"/>
      </w:pPr>
      <w:r>
        <w:rPr>
          <w:color w:val="666666"/>
          <w:sz w:val="18"/>
        </w:rPr>
        <w:t>Calibration certificates.</w:t>
      </w:r>
    </w:p>
    <w:p>
      <w:pPr>
        <w:pStyle w:val="ListBullet"/>
      </w:pPr>
      <w:r>
        <w:rPr>
          <w:color w:val="666666"/>
          <w:sz w:val="18"/>
        </w:rPr>
        <w:t>Out-of-calibration procedure.</w:t>
      </w:r>
    </w:p>
    <w:p>
      <w:pPr>
        <w:pStyle w:val="Heading2"/>
      </w:pPr>
      <w:r>
        <w:t>8. Audit Programme</w:t>
      </w:r>
    </w:p>
    <w:p>
      <w:pPr>
        <w:pStyle w:val="ListBullet"/>
      </w:pPr>
      <w:r>
        <w:rPr>
          <w:color w:val="666666"/>
          <w:sz w:val="18"/>
        </w:rPr>
        <w:t>Internal audit schedule.</w:t>
      </w:r>
    </w:p>
    <w:p>
      <w:pPr>
        <w:pStyle w:val="ListBullet"/>
      </w:pPr>
      <w:r>
        <w:rPr>
          <w:color w:val="666666"/>
          <w:sz w:val="18"/>
        </w:rPr>
        <w:t>External audit schedule.</w:t>
      </w:r>
    </w:p>
    <w:p>
      <w:pPr>
        <w:pStyle w:val="ListBullet"/>
      </w:pPr>
      <w:r>
        <w:rPr>
          <w:color w:val="666666"/>
          <w:sz w:val="18"/>
        </w:rPr>
        <w:t>Audit findings close-out.</w:t>
      </w:r>
    </w:p>
    <w:p>
      <w:pPr>
        <w:pStyle w:val="Heading2"/>
      </w:pPr>
      <w:r>
        <w:t>9. Handover Quality Records</w:t>
      </w:r>
    </w:p>
    <w:p>
      <w:pPr>
        <w:pStyle w:val="ListBullet"/>
      </w:pPr>
      <w:r>
        <w:rPr>
          <w:color w:val="666666"/>
          <w:sz w:val="18"/>
        </w:rPr>
        <w:t>As-built documentation.</w:t>
      </w:r>
    </w:p>
    <w:p>
      <w:pPr>
        <w:pStyle w:val="ListBullet"/>
      </w:pPr>
      <w:r>
        <w:rPr>
          <w:color w:val="666666"/>
          <w:sz w:val="18"/>
        </w:rPr>
        <w:t>Test certificates compilation.</w:t>
      </w:r>
    </w:p>
    <w:p>
      <w:pPr>
        <w:pStyle w:val="ListBullet"/>
      </w:pPr>
      <w:r>
        <w:rPr>
          <w:color w:val="666666"/>
          <w:sz w:val="18"/>
        </w:rPr>
        <w:t>O&amp;M manual requirements.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