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
    <w:p/>
    <w:p>
      <w:pPr>
        <w:jc w:val="center"/>
      </w:pPr>
      <w:r>
        <w:rPr>
          <w:b/>
          <w:color w:val="1B2A4A"/>
          <w:sz w:val="52"/>
        </w:rPr>
        <w:t>Communication Management Plan</w:t>
      </w:r>
    </w:p>
    <w:p>
      <w:pPr>
        <w:jc w:val="center"/>
      </w:pPr>
      <w:r>
        <w:rPr>
          <w:b/>
          <w:sz w:val="28"/>
        </w:rPr>
        <w:t>HAI — Employer's Representative | Project [Project Reference]</w:t>
      </w:r>
    </w:p>
    <w:p/>
    <w:p/>
    <w:p/>
    <w:p/>
    <w:p>
      <w:pPr>
        <w:spacing w:after="120"/>
      </w:pPr>
      <w:r>
        <w:t>Prepared by:</w:t>
      </w:r>
    </w:p>
    <w:p>
      <w:r>
        <w:t>HAI Programme Management Office</w:t>
      </w:r>
    </w:p>
    <w:p/>
    <w:p/>
    <w:p>
      <w:pPr>
        <w:spacing w:after="120"/>
      </w:pPr>
      <w:r>
        <w:t>Date: February 2026</w:t>
      </w:r>
    </w:p>
    <w:p>
      <w:pPr>
        <w:spacing w:after="120"/>
      </w:pPr>
      <w:r>
        <w:t>Document No: HAI-[Project Reference]-PM-CMP-0001-R0.0</w:t>
      </w:r>
    </w:p>
    <w:p>
      <w:pPr>
        <w:spacing w:after="120"/>
      </w:pPr>
      <w:r>
        <w:rPr>
          <w:b/>
        </w:rPr>
        <w:t>Status: Draft</w:t>
      </w:r>
    </w:p>
    <w:p>
      <w:r>
        <w:br w:type="page"/>
      </w:r>
    </w:p>
    <w:p>
      <w:pPr>
        <w:pStyle w:val="Heading1"/>
      </w:pPr>
      <w:r>
        <w:t>Document Control</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val="clear" w:fill="1B2A4A"/>
          </w:tcPr>
          <w:p>
            <w:r>
              <w:rPr>
                <w:b/>
                <w:color w:val="FFFFFF"/>
                <w:sz w:val="20"/>
              </w:rPr>
              <w:t>Rev</w:t>
            </w:r>
          </w:p>
        </w:tc>
        <w:tc>
          <w:tcPr>
            <w:tcW w:type="dxa" w:w="1560"/>
            <w:shd w:val="clear" w:fill="1B2A4A"/>
          </w:tcPr>
          <w:p>
            <w:r>
              <w:rPr>
                <w:b/>
                <w:color w:val="FFFFFF"/>
                <w:sz w:val="20"/>
              </w:rPr>
              <w:t>Date</w:t>
            </w:r>
          </w:p>
        </w:tc>
        <w:tc>
          <w:tcPr>
            <w:tcW w:type="dxa" w:w="1560"/>
            <w:shd w:val="clear" w:fill="1B2A4A"/>
          </w:tcPr>
          <w:p>
            <w:r>
              <w:rPr>
                <w:b/>
                <w:color w:val="FFFFFF"/>
                <w:sz w:val="20"/>
              </w:rPr>
              <w:t>Description</w:t>
            </w:r>
          </w:p>
        </w:tc>
        <w:tc>
          <w:tcPr>
            <w:tcW w:type="dxa" w:w="1560"/>
            <w:shd w:val="clear" w:fill="1B2A4A"/>
          </w:tcPr>
          <w:p>
            <w:r>
              <w:rPr>
                <w:b/>
                <w:color w:val="FFFFFF"/>
                <w:sz w:val="20"/>
              </w:rPr>
              <w:t>Prepared By</w:t>
            </w:r>
          </w:p>
        </w:tc>
        <w:tc>
          <w:tcPr>
            <w:tcW w:type="dxa" w:w="1560"/>
            <w:shd w:val="clear" w:fill="1B2A4A"/>
          </w:tcPr>
          <w:p>
            <w:r>
              <w:rPr>
                <w:b/>
                <w:color w:val="FFFFFF"/>
                <w:sz w:val="20"/>
              </w:rPr>
              <w:t>Reviewed By</w:t>
            </w:r>
          </w:p>
        </w:tc>
        <w:tc>
          <w:tcPr>
            <w:tcW w:type="dxa" w:w="1560"/>
            <w:shd w:val="clear" w:fill="1B2A4A"/>
          </w:tcPr>
          <w:p>
            <w:r>
              <w:rPr>
                <w:b/>
                <w:color w:val="FFFFFF"/>
                <w:sz w:val="20"/>
              </w:rPr>
              <w:t>Approved By</w:t>
            </w:r>
          </w:p>
        </w:tc>
      </w:tr>
      <w:tr>
        <w:tc>
          <w:tcPr>
            <w:tcW w:type="dxa" w:w="1560"/>
          </w:tcPr>
          <w:p>
            <w:r>
              <w:rPr>
                <w:b w:val="0"/>
                <w:sz w:val="20"/>
              </w:rPr>
              <w:t>R0.0</w:t>
            </w:r>
          </w:p>
        </w:tc>
        <w:tc>
          <w:tcPr>
            <w:tcW w:type="dxa" w:w="1560"/>
          </w:tcPr>
          <w:p>
            <w:r>
              <w:rPr>
                <w:b w:val="0"/>
                <w:sz w:val="20"/>
              </w:rPr>
              <w:t>Feb 2026</w:t>
            </w:r>
          </w:p>
        </w:tc>
        <w:tc>
          <w:tcPr>
            <w:tcW w:type="dxa" w:w="1560"/>
          </w:tcPr>
          <w:p>
            <w:r>
              <w:rPr>
                <w:b w:val="0"/>
                <w:sz w:val="20"/>
              </w:rPr>
              <w:t>Initial Draft</w:t>
            </w:r>
          </w:p>
        </w:tc>
        <w:tc>
          <w:tcPr>
            <w:tcW w:type="dxa" w:w="1560"/>
          </w:tcPr>
          <w:p>
            <w:r>
              <w:rPr>
                <w:b w:val="0"/>
                <w:sz w:val="20"/>
              </w:rPr>
              <w:t>HAI PMO</w:t>
            </w:r>
          </w:p>
        </w:tc>
        <w:tc>
          <w:tcPr>
            <w:tcW w:type="dxa" w:w="1560"/>
          </w:tcPr>
          <w:p>
            <w:r>
              <w:rPr>
                <w:b w:val="0"/>
                <w:sz w:val="20"/>
              </w:rPr>
              <w:t>—</w:t>
            </w:r>
          </w:p>
        </w:tc>
        <w:tc>
          <w:tcPr>
            <w:tcW w:type="dxa" w:w="1560"/>
          </w:tcPr>
          <w:p>
            <w:r>
              <w:rPr>
                <w:b w:val="0"/>
                <w:sz w:val="20"/>
              </w:rPr>
              <w:t>—</w:t>
            </w:r>
          </w:p>
        </w:tc>
      </w:tr>
    </w:tbl>
    <w:p>
      <w:r>
        <w:br w:type="page"/>
      </w:r>
    </w:p>
    <w:p>
      <w:pPr>
        <w:pStyle w:val="Heading1"/>
      </w:pPr>
      <w:r>
        <w:t>Table of Contents</w:t>
      </w:r>
    </w:p>
    <w:p/>
    <w:p>
      <w:pPr>
        <w:pStyle w:val="ListBullet"/>
        <w:spacing w:after="60"/>
      </w:pPr>
      <w:r>
        <w:t>Purpose &amp; Scope</w:t>
      </w:r>
    </w:p>
    <w:p>
      <w:pPr>
        <w:pStyle w:val="ListBullet"/>
        <w:spacing w:after="60"/>
      </w:pPr>
      <w:r>
        <w:t>Definitions &amp; Abbreviations</w:t>
      </w:r>
    </w:p>
    <w:p>
      <w:pPr>
        <w:pStyle w:val="ListBullet"/>
        <w:spacing w:after="60"/>
      </w:pPr>
      <w:r>
        <w:t>Project Stakeholders</w:t>
      </w:r>
    </w:p>
    <w:p>
      <w:pPr>
        <w:pStyle w:val="ListBullet"/>
        <w:spacing w:after="60"/>
      </w:pPr>
      <w:r>
        <w:t>Communication Objectives</w:t>
      </w:r>
    </w:p>
    <w:p>
      <w:pPr>
        <w:pStyle w:val="ListBullet"/>
        <w:spacing w:after="60"/>
      </w:pPr>
      <w:r>
        <w:t>Communication Methods &amp; Channels</w:t>
      </w:r>
    </w:p>
    <w:p>
      <w:pPr>
        <w:pStyle w:val="ListBullet"/>
        <w:spacing w:after="60"/>
      </w:pPr>
      <w:r>
        <w:t>Communication Matrix</w:t>
      </w:r>
    </w:p>
    <w:p>
      <w:pPr>
        <w:pStyle w:val="ListBullet"/>
        <w:spacing w:after="60"/>
      </w:pPr>
      <w:r>
        <w:t>Meeting Protocols</w:t>
      </w:r>
    </w:p>
    <w:p>
      <w:pPr>
        <w:pStyle w:val="ListBullet"/>
        <w:spacing w:after="60"/>
      </w:pPr>
      <w:r>
        <w:t>Document Management</w:t>
      </w:r>
    </w:p>
    <w:p>
      <w:pPr>
        <w:pStyle w:val="ListBullet"/>
        <w:spacing w:after="60"/>
      </w:pPr>
      <w:r>
        <w:t>Contractual Communications</w:t>
      </w:r>
    </w:p>
    <w:p>
      <w:pPr>
        <w:pStyle w:val="ListBullet"/>
        <w:spacing w:after="60"/>
      </w:pPr>
      <w:r>
        <w:t>Escalation Framework</w:t>
      </w:r>
    </w:p>
    <w:p>
      <w:pPr>
        <w:pStyle w:val="ListBullet"/>
        <w:spacing w:after="60"/>
      </w:pPr>
      <w:r>
        <w:t>Distribution &amp; Confidentiality</w:t>
      </w:r>
    </w:p>
    <w:p>
      <w:pPr>
        <w:pStyle w:val="ListBullet"/>
        <w:spacing w:after="60"/>
      </w:pPr>
      <w:r>
        <w:t>Reporting Requirements</w:t>
      </w:r>
    </w:p>
    <w:p>
      <w:pPr>
        <w:pStyle w:val="ListBullet"/>
        <w:spacing w:after="60"/>
      </w:pPr>
      <w:r>
        <w:t>Language &amp; Cultural Considerations</w:t>
      </w:r>
    </w:p>
    <w:p>
      <w:pPr>
        <w:pStyle w:val="ListBullet"/>
        <w:spacing w:after="60"/>
      </w:pPr>
      <w:r>
        <w:t>Review &amp; Update</w:t>
      </w:r>
    </w:p>
    <w:p>
      <w:r>
        <w:br w:type="page"/>
      </w:r>
    </w:p>
    <w:p>
      <w:pPr>
        <w:pStyle w:val="Heading1"/>
      </w:pPr>
      <w:r>
        <w:t>1. Purpose &amp; Scope</w:t>
      </w:r>
    </w:p>
    <w:p/>
    <w:p>
      <w:pPr>
        <w:pStyle w:val="Heading2"/>
      </w:pPr>
      <w:r>
        <w:t>Purpose</w:t>
      </w:r>
    </w:p>
    <w:p>
      <w:pPr>
        <w:spacing w:after="120"/>
      </w:pPr>
      <w:r>
        <w:t>This Communication Management Plan establishes the framework for all project communications within the [Project Reference] construction project under HAI's management as Employer's Representative. The plan ensures timely, accurate, and controlled distribution of information to all project stakeholders, maintaining clarity of accountability and compliance with contractual obligations.</w:t>
      </w:r>
    </w:p>
    <w:p>
      <w:pPr>
        <w:pStyle w:val="Heading2"/>
      </w:pPr>
      <w:r>
        <w:t>Scope of Application</w:t>
      </w:r>
    </w:p>
    <w:p>
      <w:pPr>
        <w:spacing w:after="120"/>
      </w:pPr>
      <w:r>
        <w:t>This plan applies to all communications related to the [Project Reference] project, including:</w:t>
      </w:r>
    </w:p>
    <w:p>
      <w:pPr>
        <w:pStyle w:val="ListBullet"/>
        <w:spacing w:after="60"/>
      </w:pPr>
      <w:r>
        <w:t>Governance and programme reporting</w:t>
      </w:r>
    </w:p>
    <w:p>
      <w:pPr>
        <w:pStyle w:val="ListBullet"/>
        <w:spacing w:after="60"/>
      </w:pPr>
      <w:r>
        <w:t>Project meetings and coordination</w:t>
      </w:r>
    </w:p>
    <w:p>
      <w:pPr>
        <w:pStyle w:val="ListBullet"/>
        <w:spacing w:after="60"/>
      </w:pPr>
      <w:r>
        <w:t>Document submittals and design reviews</w:t>
      </w:r>
    </w:p>
    <w:p>
      <w:pPr>
        <w:pStyle w:val="ListBullet"/>
        <w:spacing w:after="60"/>
      </w:pPr>
      <w:r>
        <w:t>Contractual notices and claims management</w:t>
      </w:r>
    </w:p>
    <w:p>
      <w:pPr>
        <w:pStyle w:val="ListBullet"/>
        <w:spacing w:after="60"/>
      </w:pPr>
      <w:r>
        <w:t>Quality inspections and HSE communications</w:t>
      </w:r>
    </w:p>
    <w:p>
      <w:pPr>
        <w:pStyle w:val="ListBullet"/>
        <w:spacing w:after="60"/>
      </w:pPr>
      <w:r>
        <w:t>Authority submissions and certifications</w:t>
      </w:r>
    </w:p>
    <w:p>
      <w:pPr>
        <w:pStyle w:val="ListBullet"/>
        <w:spacing w:after="60"/>
      </w:pPr>
      <w:r>
        <w:t>Handover and project close-out</w:t>
      </w:r>
    </w:p>
    <w:p>
      <w:pPr>
        <w:pStyle w:val="Heading2"/>
      </w:pPr>
      <w:r>
        <w:t>Reference to PMI Framework</w:t>
      </w:r>
    </w:p>
    <w:p>
      <w:pPr>
        <w:spacing w:after="120"/>
      </w:pPr>
      <w:r>
        <w:t>This plan aligns with the PMI Construction Extension to the PMBOK (Project Management Body of Knowledge), Section 10 — Communications Management. The framework ensures:</w:t>
      </w:r>
    </w:p>
    <w:p>
      <w:pPr>
        <w:pStyle w:val="ListBullet"/>
        <w:spacing w:after="60"/>
      </w:pPr>
      <w:r>
        <w:t>Systematic planning of communication activities</w:t>
      </w:r>
    </w:p>
    <w:p>
      <w:pPr>
        <w:pStyle w:val="ListBullet"/>
        <w:spacing w:after="60"/>
      </w:pPr>
      <w:r>
        <w:t>Structured management of information flow</w:t>
      </w:r>
    </w:p>
    <w:p>
      <w:pPr>
        <w:pStyle w:val="ListBullet"/>
        <w:spacing w:after="60"/>
      </w:pPr>
      <w:r>
        <w:t>Clear escalation pathways for issue resolution</w:t>
      </w:r>
    </w:p>
    <w:p>
      <w:pPr>
        <w:pStyle w:val="ListBullet"/>
        <w:spacing w:after="60"/>
      </w:pPr>
      <w:r>
        <w:t>Documented audit trail for compliance and traceability</w:t>
      </w:r>
    </w:p>
    <w:p>
      <w:pPr>
        <w:pStyle w:val="Heading2"/>
      </w:pPr>
      <w:r>
        <w:t>FIDIC 2017 Integration</w:t>
      </w:r>
    </w:p>
    <w:p>
      <w:pPr>
        <w:spacing w:after="120"/>
      </w:pPr>
      <w:r>
        <w:t>All communications comply with FIDIC 2017 Conditions of Contract requirements, including:</w:t>
      </w:r>
    </w:p>
    <w:p>
      <w:pPr>
        <w:pStyle w:val="ListBullet"/>
        <w:spacing w:after="60"/>
      </w:pPr>
      <w:r>
        <w:t>Formal notice procedures (SC 1.3) — Contractor 3 calendar days response</w:t>
      </w:r>
    </w:p>
    <w:p>
      <w:pPr>
        <w:pStyle w:val="ListBullet"/>
        <w:spacing w:after="60"/>
      </w:pPr>
      <w:r>
        <w:t>Time-bar requirements for claims (Clause 20.2)</w:t>
      </w:r>
    </w:p>
    <w:p>
      <w:pPr>
        <w:pStyle w:val="ListBullet"/>
        <w:spacing w:after="60"/>
      </w:pPr>
      <w:r>
        <w:t>Engineer determination response timelines (Clause 14) Force Majeure notice: 7 CD (SC 19.2). Variation notice: 3 WD from instruction (SC 3.3).</w:t>
      </w:r>
    </w:p>
    <w:p>
      <w:pPr>
        <w:pStyle w:val="ListBullet"/>
        <w:spacing w:after="60"/>
      </w:pPr>
      <w:r>
        <w:t>Payment certification cycles</w:t>
      </w:r>
    </w:p>
    <w:p>
      <w:r>
        <w:br w:type="page"/>
      </w:r>
    </w:p>
    <w:p>
      <w:pPr>
        <w:pStyle w:val="Heading1"/>
      </w:pPr>
      <w:r>
        <w:t>2. Definitions &amp; Abbreviations</w:t>
      </w:r>
    </w:p>
    <w:p/>
    <w:p>
      <w:pPr>
        <w:pStyle w:val="Heading2"/>
      </w:pPr>
      <w:r>
        <w:t>Key Terms</w:t>
      </w:r>
    </w:p>
    <w:tbl>
      <w:tblPr>
        <w:tblStyle w:val="LightGrid-Accent1"/>
        <w:tblW w:type="auto" w:w="0"/>
        <w:tblLook w:firstColumn="1" w:firstRow="1" w:lastColumn="0" w:lastRow="0" w:noHBand="0" w:noVBand="1" w:val="04A0"/>
      </w:tblPr>
      <w:tblGrid>
        <w:gridCol w:w="4680"/>
        <w:gridCol w:w="4680"/>
      </w:tblGrid>
      <w:tr>
        <w:tc>
          <w:tcPr>
            <w:tcW w:type="dxa" w:w="4680"/>
            <w:shd w:val="clear" w:fill="1B2A4A"/>
          </w:tcPr>
          <w:p>
            <w:r>
              <w:rPr>
                <w:b/>
                <w:color w:val="FFFFFF"/>
                <w:sz w:val="20"/>
              </w:rPr>
              <w:t>Term</w:t>
            </w:r>
          </w:p>
        </w:tc>
        <w:tc>
          <w:tcPr>
            <w:tcW w:type="dxa" w:w="4680"/>
            <w:shd w:val="clear" w:fill="1B2A4A"/>
          </w:tcPr>
          <w:p>
            <w:r>
              <w:rPr>
                <w:b/>
                <w:color w:val="FFFFFF"/>
                <w:sz w:val="20"/>
              </w:rPr>
              <w:t>Definition</w:t>
            </w:r>
          </w:p>
        </w:tc>
      </w:tr>
      <w:tr>
        <w:tc>
          <w:tcPr>
            <w:tcW w:type="dxa" w:w="4680"/>
            <w:shd w:val="clear" w:fill="F0F0F0"/>
          </w:tcPr>
          <w:p>
            <w:r>
              <w:rPr>
                <w:b/>
                <w:sz w:val="20"/>
              </w:rPr>
              <w:t>ER</w:t>
            </w:r>
          </w:p>
        </w:tc>
        <w:tc>
          <w:tcPr>
            <w:tcW w:type="dxa" w:w="4680"/>
            <w:shd w:val="clear" w:fill="F0F0F0"/>
          </w:tcPr>
          <w:p>
            <w:r>
              <w:rPr>
                <w:b w:val="0"/>
                <w:sz w:val="20"/>
              </w:rPr>
              <w:t>Employer's Representative — HAI acting on behalf of Artan Holding</w:t>
            </w:r>
          </w:p>
        </w:tc>
      </w:tr>
      <w:tr>
        <w:tc>
          <w:tcPr>
            <w:tcW w:type="dxa" w:w="4680"/>
          </w:tcPr>
          <w:p>
            <w:r>
              <w:rPr>
                <w:b/>
                <w:sz w:val="20"/>
              </w:rPr>
              <w:t>DC</w:t>
            </w:r>
          </w:p>
        </w:tc>
        <w:tc>
          <w:tcPr>
            <w:tcW w:type="dxa" w:w="4680"/>
          </w:tcPr>
          <w:p>
            <w:r>
              <w:rPr>
                <w:b w:val="0"/>
                <w:sz w:val="20"/>
              </w:rPr>
              <w:t>Design Consultant — Lead design authority for the project</w:t>
            </w:r>
          </w:p>
        </w:tc>
      </w:tr>
      <w:tr>
        <w:tc>
          <w:tcPr>
            <w:tcW w:type="dxa" w:w="4680"/>
            <w:shd w:val="clear" w:fill="F0F0F0"/>
          </w:tcPr>
          <w:p>
            <w:r>
              <w:rPr>
                <w:b/>
                <w:sz w:val="20"/>
              </w:rPr>
              <w:t>EDMS</w:t>
            </w:r>
          </w:p>
        </w:tc>
        <w:tc>
          <w:tcPr>
            <w:tcW w:type="dxa" w:w="4680"/>
            <w:shd w:val="clear" w:fill="F0F0F0"/>
          </w:tcPr>
          <w:p>
            <w:r>
              <w:rPr>
                <w:b w:val="0"/>
                <w:sz w:val="20"/>
              </w:rPr>
              <w:t>Electronic Document Management System (SkyStruct Platform)</w:t>
            </w:r>
          </w:p>
        </w:tc>
      </w:tr>
      <w:tr>
        <w:tc>
          <w:tcPr>
            <w:tcW w:type="dxa" w:w="4680"/>
          </w:tcPr>
          <w:p>
            <w:r>
              <w:rPr>
                <w:b/>
                <w:sz w:val="20"/>
              </w:rPr>
              <w:t>RACI</w:t>
            </w:r>
          </w:p>
        </w:tc>
        <w:tc>
          <w:tcPr>
            <w:tcW w:type="dxa" w:w="4680"/>
          </w:tcPr>
          <w:p>
            <w:r>
              <w:rPr>
                <w:b w:val="0"/>
                <w:sz w:val="20"/>
              </w:rPr>
              <w:t>Responsible, Accountable, Consulted, Informed — stakeholder communication model</w:t>
            </w:r>
          </w:p>
        </w:tc>
      </w:tr>
      <w:tr>
        <w:tc>
          <w:tcPr>
            <w:tcW w:type="dxa" w:w="4680"/>
            <w:shd w:val="clear" w:fill="F0F0F0"/>
          </w:tcPr>
          <w:p>
            <w:r>
              <w:rPr>
                <w:b/>
                <w:sz w:val="20"/>
              </w:rPr>
              <w:t>MOM</w:t>
            </w:r>
          </w:p>
        </w:tc>
        <w:tc>
          <w:tcPr>
            <w:tcW w:type="dxa" w:w="4680"/>
            <w:shd w:val="clear" w:fill="F0F0F0"/>
          </w:tcPr>
          <w:p>
            <w:r>
              <w:rPr>
                <w:b w:val="0"/>
                <w:sz w:val="20"/>
              </w:rPr>
              <w:t>Minutes of Meeting — formal record of meeting discussions and actions</w:t>
            </w:r>
          </w:p>
        </w:tc>
      </w:tr>
      <w:tr>
        <w:tc>
          <w:tcPr>
            <w:tcW w:type="dxa" w:w="4680"/>
          </w:tcPr>
          <w:p>
            <w:r>
              <w:rPr>
                <w:b/>
                <w:sz w:val="20"/>
              </w:rPr>
              <w:t>RFI</w:t>
            </w:r>
          </w:p>
        </w:tc>
        <w:tc>
          <w:tcPr>
            <w:tcW w:type="dxa" w:w="4680"/>
          </w:tcPr>
          <w:p>
            <w:r>
              <w:rPr>
                <w:b w:val="0"/>
                <w:sz w:val="20"/>
              </w:rPr>
              <w:t>Request for Information — clarification request from contractor</w:t>
            </w:r>
          </w:p>
        </w:tc>
      </w:tr>
      <w:tr>
        <w:tc>
          <w:tcPr>
            <w:tcW w:type="dxa" w:w="4680"/>
            <w:shd w:val="clear" w:fill="F0F0F0"/>
          </w:tcPr>
          <w:p>
            <w:r>
              <w:rPr>
                <w:b/>
                <w:sz w:val="20"/>
              </w:rPr>
              <w:t>TQ</w:t>
            </w:r>
          </w:p>
        </w:tc>
        <w:tc>
          <w:tcPr>
            <w:tcW w:type="dxa" w:w="4680"/>
            <w:shd w:val="clear" w:fill="F0F0F0"/>
          </w:tcPr>
          <w:p>
            <w:r>
              <w:rPr>
                <w:b w:val="0"/>
                <w:sz w:val="20"/>
              </w:rPr>
              <w:t>Technical Query — clarification request to consultants</w:t>
            </w:r>
          </w:p>
        </w:tc>
      </w:tr>
      <w:tr>
        <w:tc>
          <w:tcPr>
            <w:tcW w:type="dxa" w:w="4680"/>
          </w:tcPr>
          <w:p>
            <w:r>
              <w:rPr>
                <w:b/>
                <w:sz w:val="20"/>
              </w:rPr>
              <w:t>NCR</w:t>
            </w:r>
          </w:p>
        </w:tc>
        <w:tc>
          <w:tcPr>
            <w:tcW w:type="dxa" w:w="4680"/>
          </w:tcPr>
          <w:p>
            <w:r>
              <w:rPr>
                <w:b w:val="0"/>
                <w:sz w:val="20"/>
              </w:rPr>
              <w:t>Non-Conformance Report — quality defect identification</w:t>
            </w:r>
          </w:p>
        </w:tc>
      </w:tr>
      <w:tr>
        <w:tc>
          <w:tcPr>
            <w:tcW w:type="dxa" w:w="4680"/>
            <w:shd w:val="clear" w:fill="F0F0F0"/>
          </w:tcPr>
          <w:p>
            <w:r>
              <w:rPr>
                <w:b/>
                <w:sz w:val="20"/>
              </w:rPr>
              <w:t>WIR</w:t>
            </w:r>
          </w:p>
        </w:tc>
        <w:tc>
          <w:tcPr>
            <w:tcW w:type="dxa" w:w="4680"/>
            <w:shd w:val="clear" w:fill="F0F0F0"/>
          </w:tcPr>
          <w:p>
            <w:r>
              <w:rPr>
                <w:b w:val="0"/>
                <w:sz w:val="20"/>
              </w:rPr>
              <w:t>Work Inspection Report — on-site quality inspection record</w:t>
            </w:r>
          </w:p>
        </w:tc>
      </w:tr>
      <w:tr>
        <w:tc>
          <w:tcPr>
            <w:tcW w:type="dxa" w:w="4680"/>
          </w:tcPr>
          <w:p>
            <w:r>
              <w:rPr>
                <w:b/>
                <w:sz w:val="20"/>
              </w:rPr>
              <w:t>MIR</w:t>
            </w:r>
          </w:p>
        </w:tc>
        <w:tc>
          <w:tcPr>
            <w:tcW w:type="dxa" w:w="4680"/>
          </w:tcPr>
          <w:p>
            <w:r>
              <w:rPr>
                <w:b w:val="0"/>
                <w:sz w:val="20"/>
              </w:rPr>
              <w:t>Material Inspection Report — supplier/material verification</w:t>
            </w:r>
          </w:p>
        </w:tc>
      </w:tr>
      <w:tr>
        <w:tc>
          <w:tcPr>
            <w:tcW w:type="dxa" w:w="4680"/>
            <w:shd w:val="clear" w:fill="F0F0F0"/>
          </w:tcPr>
          <w:p>
            <w:r>
              <w:rPr>
                <w:b/>
                <w:sz w:val="20"/>
              </w:rPr>
              <w:t>IPC</w:t>
            </w:r>
          </w:p>
        </w:tc>
        <w:tc>
          <w:tcPr>
            <w:tcW w:type="dxa" w:w="4680"/>
            <w:shd w:val="clear" w:fill="F0F0F0"/>
          </w:tcPr>
          <w:p>
            <w:r>
              <w:rPr>
                <w:b w:val="0"/>
                <w:sz w:val="20"/>
              </w:rPr>
              <w:t>Interim Payment Certificate — contractual payment authorization</w:t>
            </w:r>
          </w:p>
        </w:tc>
      </w:tr>
      <w:tr>
        <w:tc>
          <w:tcPr>
            <w:tcW w:type="dxa" w:w="4680"/>
          </w:tcPr>
          <w:p>
            <w:r>
              <w:rPr>
                <w:b/>
                <w:sz w:val="20"/>
              </w:rPr>
              <w:t>VO</w:t>
            </w:r>
          </w:p>
        </w:tc>
        <w:tc>
          <w:tcPr>
            <w:tcW w:type="dxa" w:w="4680"/>
          </w:tcPr>
          <w:p>
            <w:r>
              <w:rPr>
                <w:b w:val="0"/>
                <w:sz w:val="20"/>
              </w:rPr>
              <w:t>Variation Order — contract modification for scope changes</w:t>
            </w:r>
          </w:p>
        </w:tc>
      </w:tr>
      <w:tr>
        <w:tc>
          <w:tcPr>
            <w:tcW w:type="dxa" w:w="4680"/>
            <w:shd w:val="clear" w:fill="F0F0F0"/>
          </w:tcPr>
          <w:p>
            <w:r>
              <w:rPr>
                <w:b/>
                <w:sz w:val="20"/>
              </w:rPr>
              <w:t>EoT</w:t>
            </w:r>
          </w:p>
        </w:tc>
        <w:tc>
          <w:tcPr>
            <w:tcW w:type="dxa" w:w="4680"/>
            <w:shd w:val="clear" w:fill="F0F0F0"/>
          </w:tcPr>
          <w:p>
            <w:r>
              <w:rPr>
                <w:b w:val="0"/>
                <w:sz w:val="20"/>
              </w:rPr>
              <w:t>Extension of Time — contractual schedule adjustment</w:t>
            </w:r>
          </w:p>
        </w:tc>
      </w:tr>
      <w:tr>
        <w:tc>
          <w:tcPr>
            <w:tcW w:type="dxa" w:w="4680"/>
          </w:tcPr>
          <w:p>
            <w:r>
              <w:rPr>
                <w:b/>
                <w:sz w:val="20"/>
              </w:rPr>
              <w:t>SI</w:t>
            </w:r>
          </w:p>
        </w:tc>
        <w:tc>
          <w:tcPr>
            <w:tcW w:type="dxa" w:w="4680"/>
          </w:tcPr>
          <w:p>
            <w:r>
              <w:rPr>
                <w:b w:val="0"/>
                <w:sz w:val="20"/>
              </w:rPr>
              <w:t>Site Instruction — formal directive to contractor on site</w:t>
            </w:r>
          </w:p>
        </w:tc>
      </w:tr>
      <w:tr>
        <w:tc>
          <w:tcPr>
            <w:tcW w:type="dxa" w:w="4680"/>
            <w:shd w:val="clear" w:fill="F0F0F0"/>
          </w:tcPr>
          <w:p>
            <w:r>
              <w:rPr>
                <w:b/>
                <w:sz w:val="20"/>
              </w:rPr>
              <w:t>CVI</w:t>
            </w:r>
          </w:p>
        </w:tc>
        <w:tc>
          <w:tcPr>
            <w:tcW w:type="dxa" w:w="4680"/>
            <w:shd w:val="clear" w:fill="F0F0F0"/>
          </w:tcPr>
          <w:p>
            <w:r>
              <w:rPr>
                <w:b w:val="0"/>
                <w:sz w:val="20"/>
              </w:rPr>
              <w:t>Completion/Compliance Verification Inspection</w:t>
            </w:r>
          </w:p>
        </w:tc>
      </w:tr>
      <w:tr>
        <w:tc>
          <w:tcPr>
            <w:tcW w:type="dxa" w:w="4680"/>
          </w:tcPr>
          <w:p>
            <w:r>
              <w:rPr>
                <w:b/>
                <w:sz w:val="20"/>
              </w:rPr>
              <w:t>FIDIC</w:t>
            </w:r>
          </w:p>
        </w:tc>
        <w:tc>
          <w:tcPr>
            <w:tcW w:type="dxa" w:w="4680"/>
          </w:tcPr>
          <w:p>
            <w:r>
              <w:rPr>
                <w:b w:val="0"/>
                <w:sz w:val="20"/>
              </w:rPr>
              <w:t>International Federation of Consulting Engineers — contract standard</w:t>
            </w:r>
          </w:p>
        </w:tc>
      </w:tr>
      <w:tr>
        <w:tc>
          <w:tcPr>
            <w:tcW w:type="dxa" w:w="4680"/>
            <w:shd w:val="clear" w:fill="F0F0F0"/>
          </w:tcPr>
          <w:p>
            <w:r>
              <w:rPr>
                <w:b/>
                <w:sz w:val="20"/>
              </w:rPr>
              <w:t>RIBA</w:t>
            </w:r>
          </w:p>
        </w:tc>
        <w:tc>
          <w:tcPr>
            <w:tcW w:type="dxa" w:w="4680"/>
            <w:shd w:val="clear" w:fill="F0F0F0"/>
          </w:tcPr>
          <w:p>
            <w:r>
              <w:rPr>
                <w:b w:val="0"/>
                <w:sz w:val="20"/>
              </w:rPr>
              <w:t>Royal Institute of British Architects — project stage framework</w:t>
            </w:r>
          </w:p>
        </w:tc>
      </w:tr>
      <w:tr>
        <w:tc>
          <w:tcPr>
            <w:tcW w:type="dxa" w:w="4680"/>
          </w:tcPr>
          <w:p>
            <w:r>
              <w:rPr>
                <w:b/>
                <w:sz w:val="20"/>
              </w:rPr>
              <w:t>QCS</w:t>
            </w:r>
          </w:p>
        </w:tc>
        <w:tc>
          <w:tcPr>
            <w:tcW w:type="dxa" w:w="4680"/>
          </w:tcPr>
          <w:p>
            <w:r>
              <w:rPr>
                <w:b w:val="0"/>
                <w:sz w:val="20"/>
              </w:rPr>
              <w:t>Qatar Construction Specification</w:t>
            </w:r>
          </w:p>
        </w:tc>
      </w:tr>
      <w:tr>
        <w:tc>
          <w:tcPr>
            <w:tcW w:type="dxa" w:w="4680"/>
            <w:shd w:val="clear" w:fill="F0F0F0"/>
          </w:tcPr>
          <w:p>
            <w:r>
              <w:rPr>
                <w:b/>
                <w:sz w:val="20"/>
              </w:rPr>
              <w:t>GSAS</w:t>
            </w:r>
          </w:p>
        </w:tc>
        <w:tc>
          <w:tcPr>
            <w:tcW w:type="dxa" w:w="4680"/>
            <w:shd w:val="clear" w:fill="F0F0F0"/>
          </w:tcPr>
          <w:p>
            <w:r>
              <w:rPr>
                <w:b w:val="0"/>
                <w:sz w:val="20"/>
              </w:rPr>
              <w:t>Global Sustainability Assessment System</w:t>
            </w:r>
          </w:p>
        </w:tc>
      </w:tr>
      <w:tr>
        <w:tc>
          <w:tcPr>
            <w:tcW w:type="dxa" w:w="4680"/>
          </w:tcPr>
          <w:p>
            <w:r>
              <w:rPr>
                <w:b/>
                <w:sz w:val="20"/>
              </w:rPr>
              <w:t>QCDD</w:t>
            </w:r>
          </w:p>
        </w:tc>
        <w:tc>
          <w:tcPr>
            <w:tcW w:type="dxa" w:w="4680"/>
          </w:tcPr>
          <w:p>
            <w:r>
              <w:rPr>
                <w:b w:val="0"/>
                <w:sz w:val="20"/>
              </w:rPr>
              <w:t>Qatar Central Design and Development Bureau</w:t>
            </w:r>
          </w:p>
        </w:tc>
      </w:tr>
      <w:tr>
        <w:tc>
          <w:tcPr>
            <w:tcW w:type="dxa" w:w="4680"/>
            <w:shd w:val="clear" w:fill="F0F0F0"/>
          </w:tcPr>
          <w:p>
            <w:r>
              <w:rPr>
                <w:b/>
                <w:sz w:val="20"/>
              </w:rPr>
              <w:t>LTI</w:t>
            </w:r>
          </w:p>
        </w:tc>
        <w:tc>
          <w:tcPr>
            <w:tcW w:type="dxa" w:w="4680"/>
            <w:shd w:val="clear" w:fill="F0F0F0"/>
          </w:tcPr>
          <w:p>
            <w:r>
              <w:rPr>
                <w:b w:val="0"/>
                <w:sz w:val="20"/>
              </w:rPr>
              <w:t>Lost Time Injury — HSE incident classification</w:t>
            </w:r>
          </w:p>
        </w:tc>
      </w:tr>
    </w:tbl>
    <w:p>
      <w:r>
        <w:br w:type="page"/>
      </w:r>
    </w:p>
    <w:p>
      <w:pPr>
        <w:pStyle w:val="Heading1"/>
      </w:pPr>
      <w:r>
        <w:t>3. Project Stakeholders</w:t>
      </w:r>
    </w:p>
    <w:p/>
    <w:p>
      <w:pPr>
        <w:spacing w:after="120"/>
      </w:pPr>
      <w:r>
        <w:t>The project involves diverse stakeholder groups, each with distinct communication requirements. A comprehensive stakeholder register is maintained in Appendix A, detailing contact information, escalation points, and preferred communication methods.</w:t>
      </w:r>
    </w:p>
    <w:p>
      <w:pPr>
        <w:pStyle w:val="Heading2"/>
      </w:pPr>
      <w:r>
        <w:t>Internal Stakeholders</w:t>
      </w:r>
    </w:p>
    <w:p>
      <w:pPr>
        <w:pStyle w:val="ListBullet"/>
        <w:spacing w:after="60"/>
      </w:pPr>
      <w:r>
        <w:t>Artan Holding (Owner) — Strategic decisions, board-level reporting</w:t>
      </w:r>
    </w:p>
    <w:p>
      <w:pPr>
        <w:pStyle w:val="ListBullet"/>
        <w:spacing w:after="60"/>
      </w:pPr>
      <w:r>
        <w:t>HAI Team — Programme Director, Project Manager, QS, Design Manager, Site Supervision</w:t>
      </w:r>
    </w:p>
    <w:p>
      <w:pPr>
        <w:pStyle w:val="Heading2"/>
      </w:pPr>
      <w:r>
        <w:t>External — Consultants</w:t>
      </w:r>
    </w:p>
    <w:p>
      <w:pPr>
        <w:pStyle w:val="ListBullet"/>
        <w:spacing w:after="60"/>
      </w:pPr>
      <w:r>
        <w:t>Lead Design Consultant — Design authority and technical coordination</w:t>
      </w:r>
    </w:p>
    <w:p>
      <w:pPr>
        <w:pStyle w:val="ListBullet"/>
        <w:spacing w:after="60"/>
      </w:pPr>
      <w:r>
        <w:t>Specialist Subconsultants — MEP, Structural, Landscape, etc.</w:t>
      </w:r>
    </w:p>
    <w:p>
      <w:pPr>
        <w:pStyle w:val="Heading2"/>
      </w:pPr>
      <w:r>
        <w:t>External — Contractors</w:t>
      </w:r>
    </w:p>
    <w:p>
      <w:pPr>
        <w:pStyle w:val="ListBullet"/>
        <w:spacing w:after="60"/>
      </w:pPr>
      <w:r>
        <w:t>Main Contractor — Primary execution and coordination</w:t>
      </w:r>
    </w:p>
    <w:p>
      <w:pPr>
        <w:pStyle w:val="ListBullet"/>
        <w:spacing w:after="60"/>
      </w:pPr>
      <w:r>
        <w:t>MEP Subcontractor — Mechanical, Electrical, Plumbing systems</w:t>
      </w:r>
    </w:p>
    <w:p>
      <w:pPr>
        <w:pStyle w:val="ListBullet"/>
        <w:spacing w:after="60"/>
      </w:pPr>
      <w:r>
        <w:t>Specialist Subcontractors — Façade, Finishes, Fit-out</w:t>
      </w:r>
    </w:p>
    <w:p>
      <w:pPr>
        <w:pStyle w:val="Heading2"/>
      </w:pPr>
      <w:r>
        <w:t>External — Authorities &amp; Regulators</w:t>
      </w:r>
    </w:p>
    <w:p>
      <w:pPr>
        <w:pStyle w:val="ListBullet"/>
        <w:spacing w:after="60"/>
      </w:pPr>
      <w:r>
        <w:t>QCDD — Central Design and Development Bureau (approvals)</w:t>
      </w:r>
    </w:p>
    <w:p>
      <w:pPr>
        <w:pStyle w:val="ListBullet"/>
        <w:spacing w:after="60"/>
      </w:pPr>
      <w:r>
        <w:t>Ashghal — Supreme Committee for Delivery &amp; Legacy</w:t>
      </w:r>
    </w:p>
    <w:p>
      <w:pPr>
        <w:pStyle w:val="ListBullet"/>
        <w:spacing w:after="60"/>
      </w:pPr>
      <w:r>
        <w:t>Kahramaa — Utility company (water, electricity connections)</w:t>
      </w:r>
    </w:p>
    <w:p>
      <w:pPr>
        <w:pStyle w:val="ListBullet"/>
        <w:spacing w:after="60"/>
      </w:pPr>
      <w:r>
        <w:t>Municipality — Zoning, permits, and compliance</w:t>
      </w:r>
    </w:p>
    <w:p>
      <w:pPr>
        <w:pStyle w:val="ListBullet"/>
        <w:spacing w:after="60"/>
      </w:pPr>
      <w:r>
        <w:t>GORD — General Organization for Real Estate Development</w:t>
      </w:r>
    </w:p>
    <w:p>
      <w:pPr>
        <w:pStyle w:val="Heading2"/>
      </w:pPr>
      <w:r>
        <w:t>Other Stakeholders</w:t>
      </w:r>
    </w:p>
    <w:p>
      <w:pPr>
        <w:pStyle w:val="ListBullet"/>
        <w:spacing w:after="60"/>
      </w:pPr>
      <w:r>
        <w:t>End Users / Tenants — Facility requirements and communications</w:t>
      </w:r>
    </w:p>
    <w:p>
      <w:pPr>
        <w:pStyle w:val="ListBullet"/>
        <w:spacing w:after="60"/>
      </w:pPr>
      <w:r>
        <w:t>Community Representatives — Local engagement and liaison</w:t>
      </w:r>
    </w:p>
    <w:p>
      <w:pPr>
        <w:pStyle w:val="ListBullet"/>
        <w:spacing w:after="60"/>
      </w:pPr>
      <w:r>
        <w:t>Insurance &amp; Surety Providers — Bond and claim notifications</w:t>
      </w:r>
    </w:p>
    <w:p>
      <w:r>
        <w:br w:type="page"/>
      </w:r>
    </w:p>
    <w:p>
      <w:pPr>
        <w:pStyle w:val="Heading1"/>
      </w:pPr>
      <w:r>
        <w:t>4. Communication Objectives</w:t>
      </w:r>
    </w:p>
    <w:p/>
    <w:p>
      <w:pPr>
        <w:spacing w:after="120"/>
      </w:pPr>
      <w:r>
        <w:t>In alignment with PMI Construction Extension principles, this plan establishes the following communication objectives:</w:t>
      </w:r>
    </w:p>
    <w:p/>
    <w:p>
      <w:pPr>
        <w:pStyle w:val="Heading2"/>
      </w:pPr>
      <w:r>
        <w:t>Timely Distribution of Accurate Information</w:t>
      </w:r>
    </w:p>
    <w:p>
      <w:pPr>
        <w:pStyle w:val="ListBullet"/>
        <w:spacing w:after="60"/>
      </w:pPr>
      <w:r>
        <w:t>All information must be current, verified, and error-free before distribution</w:t>
      </w:r>
    </w:p>
    <w:p>
      <w:pPr>
        <w:pStyle w:val="ListBullet"/>
        <w:spacing w:after="60"/>
      </w:pPr>
      <w:r>
        <w:t>Distribution timelines must respect decision-making requirements</w:t>
      </w:r>
    </w:p>
    <w:p>
      <w:pPr>
        <w:pStyle w:val="Heading2"/>
      </w:pPr>
      <w:r>
        <w:t>Clear Accountability for Information Flow</w:t>
      </w:r>
    </w:p>
    <w:p>
      <w:pPr>
        <w:pStyle w:val="ListBullet"/>
        <w:spacing w:after="60"/>
      </w:pPr>
      <w:r>
        <w:t>RACI matrices define ownership, approval, and consultation roles</w:t>
      </w:r>
    </w:p>
    <w:p>
      <w:pPr>
        <w:pStyle w:val="ListBullet"/>
        <w:spacing w:after="60"/>
      </w:pPr>
      <w:r>
        <w:t>Each communication item has a designated originator and receiver</w:t>
      </w:r>
    </w:p>
    <w:p>
      <w:pPr>
        <w:pStyle w:val="Heading2"/>
      </w:pPr>
      <w:r>
        <w:t>Standardised Formats and Protocols</w:t>
      </w:r>
    </w:p>
    <w:p>
      <w:pPr>
        <w:pStyle w:val="ListBullet"/>
        <w:spacing w:after="60"/>
      </w:pPr>
      <w:r>
        <w:t>All communications follow defined templates and naming conventions</w:t>
      </w:r>
    </w:p>
    <w:p>
      <w:pPr>
        <w:pStyle w:val="ListBullet"/>
        <w:spacing w:after="60"/>
      </w:pPr>
      <w:r>
        <w:t>Consistent structure ensures rapid comprehension across stakeholders</w:t>
      </w:r>
    </w:p>
    <w:p>
      <w:pPr>
        <w:pStyle w:val="Heading2"/>
      </w:pPr>
      <w:r>
        <w:t>Contractual Compliance</w:t>
      </w:r>
    </w:p>
    <w:p>
      <w:pPr>
        <w:pStyle w:val="ListBullet"/>
        <w:spacing w:after="60"/>
      </w:pPr>
      <w:r>
        <w:t>All FIDIC 2017 notice requirements are documented and archived</w:t>
      </w:r>
    </w:p>
    <w:p>
      <w:pPr>
        <w:pStyle w:val="ListBullet"/>
        <w:spacing w:after="60"/>
      </w:pPr>
      <w:r>
        <w:t>Time-bar deadlines are tracked and escalated proactively</w:t>
      </w:r>
    </w:p>
    <w:p>
      <w:pPr>
        <w:pStyle w:val="Heading2"/>
      </w:pPr>
      <w:r>
        <w:t>Audit Trail and Traceability</w:t>
      </w:r>
    </w:p>
    <w:p>
      <w:pPr>
        <w:pStyle w:val="ListBullet"/>
        <w:spacing w:after="60"/>
      </w:pPr>
      <w:r>
        <w:t>All communications are logged with timestamp, sender, and recipients</w:t>
      </w:r>
    </w:p>
    <w:p>
      <w:pPr>
        <w:pStyle w:val="ListBullet"/>
        <w:spacing w:after="60"/>
      </w:pPr>
      <w:r>
        <w:t>Electronic archive in EDMS provides complete record for dispute resolution</w:t>
      </w:r>
    </w:p>
    <w:p>
      <w:pPr>
        <w:pStyle w:val="Heading2"/>
      </w:pPr>
      <w:r>
        <w:t>Escalation Clarity</w:t>
      </w:r>
    </w:p>
    <w:p>
      <w:pPr>
        <w:pStyle w:val="ListBullet"/>
        <w:spacing w:after="60"/>
      </w:pPr>
      <w:r>
        <w:t>Four-level escalation framework ensures rapid issue resolution</w:t>
      </w:r>
    </w:p>
    <w:p>
      <w:pPr>
        <w:pStyle w:val="ListBullet"/>
        <w:spacing w:after="60"/>
      </w:pPr>
      <w:r>
        <w:t>Clear authority and response timelines at each level</w:t>
      </w:r>
    </w:p>
    <w:p>
      <w:r>
        <w:br w:type="page"/>
      </w:r>
    </w:p>
    <w:p>
      <w:pPr>
        <w:pStyle w:val="Heading1"/>
      </w:pPr>
      <w:r>
        <w:t>5. Communication Methods &amp; Channels</w:t>
      </w:r>
    </w:p>
    <w:p/>
    <w:p>
      <w:pPr>
        <w:spacing w:after="120"/>
      </w:pPr>
      <w:r>
        <w:t>The project employs multiple communication channels, each selected for its suitability to the communication type and stakeholder audience.</w:t>
      </w:r>
    </w:p>
    <w:p/>
    <w:p>
      <w:pPr>
        <w:pStyle w:val="Heading2"/>
      </w:pPr>
      <w:r>
        <w:t>EDMS (SkyStruct Platform)</w:t>
      </w:r>
    </w:p>
    <w:p>
      <w:pPr>
        <w:pStyle w:val="ListBullet"/>
        <w:spacing w:after="60"/>
      </w:pPr>
      <w:r>
        <w:t>Primary system for document management, submittals, and approvals</w:t>
      </w:r>
    </w:p>
    <w:p>
      <w:pPr>
        <w:pStyle w:val="ListBullet"/>
        <w:spacing w:after="60"/>
      </w:pPr>
      <w:r>
        <w:t>Supports workflow tracking, version control, and audit logging</w:t>
      </w:r>
    </w:p>
    <w:p>
      <w:pPr>
        <w:pStyle w:val="ListBullet"/>
        <w:spacing w:after="60"/>
      </w:pPr>
      <w:r>
        <w:t>Mandatory for all formal design, shop drawing, and technical submittals</w:t>
      </w:r>
    </w:p>
    <w:p>
      <w:pPr>
        <w:pStyle w:val="Heading2"/>
      </w:pPr>
      <w:r>
        <w:t>Email (Outlook)</w:t>
      </w:r>
    </w:p>
    <w:p>
      <w:pPr>
        <w:pStyle w:val="ListBullet"/>
        <w:spacing w:after="60"/>
      </w:pPr>
      <w:r>
        <w:t>Used for formal correspondence, transmittals, and notifications</w:t>
      </w:r>
    </w:p>
    <w:p>
      <w:pPr>
        <w:pStyle w:val="ListBullet"/>
        <w:spacing w:after="60"/>
      </w:pPr>
      <w:r>
        <w:t>All contractual communications retain email as official record</w:t>
      </w:r>
    </w:p>
    <w:p>
      <w:pPr>
        <w:pStyle w:val="ListBullet"/>
        <w:spacing w:after="60"/>
      </w:pPr>
      <w:r>
        <w:t>Must include distribution list clearly showing To, CC, BCC recipients</w:t>
      </w:r>
    </w:p>
    <w:p>
      <w:pPr>
        <w:pStyle w:val="Heading2"/>
      </w:pPr>
      <w:r>
        <w:t>Video Conference (MS Teams)</w:t>
      </w:r>
    </w:p>
    <w:p>
      <w:pPr>
        <w:pStyle w:val="ListBullet"/>
        <w:spacing w:after="60"/>
      </w:pPr>
      <w:r>
        <w:t>Remote meetings with screen sharing and recording capability</w:t>
      </w:r>
    </w:p>
    <w:p>
      <w:pPr>
        <w:pStyle w:val="ListBullet"/>
        <w:spacing w:after="60"/>
      </w:pPr>
      <w:r>
        <w:t>Suitable for coordination meetings when in-person attendance not possible</w:t>
      </w:r>
    </w:p>
    <w:p>
      <w:pPr>
        <w:pStyle w:val="ListBullet"/>
        <w:spacing w:after="60"/>
      </w:pPr>
      <w:r>
        <w:t>Recordings archived for reference; minutes issued within 48 hours</w:t>
      </w:r>
    </w:p>
    <w:p>
      <w:pPr>
        <w:pStyle w:val="Heading2"/>
      </w:pPr>
      <w:r>
        <w:t>In-Person Meetings</w:t>
      </w:r>
    </w:p>
    <w:p>
      <w:pPr>
        <w:pStyle w:val="ListBullet"/>
        <w:spacing w:after="60"/>
      </w:pPr>
      <w:r>
        <w:t>Progress meetings held on-site for real-time coordination</w:t>
      </w:r>
    </w:p>
    <w:p>
      <w:pPr>
        <w:pStyle w:val="ListBullet"/>
        <w:spacing w:after="60"/>
      </w:pPr>
      <w:r>
        <w:t>Commercial discussions requiring sensitivity held in private settings</w:t>
      </w:r>
    </w:p>
    <w:p>
      <w:pPr>
        <w:pStyle w:val="ListBullet"/>
        <w:spacing w:after="60"/>
      </w:pPr>
      <w:r>
        <w:t>HSE tool-box talks conducted with full crew participation</w:t>
      </w:r>
    </w:p>
    <w:p>
      <w:pPr>
        <w:pStyle w:val="Heading2"/>
      </w:pPr>
      <w:r>
        <w:t>Hard Copy (Registered Mail)</w:t>
      </w:r>
    </w:p>
    <w:p>
      <w:pPr>
        <w:pStyle w:val="ListBullet"/>
        <w:spacing w:after="60"/>
      </w:pPr>
      <w:r>
        <w:t>Contractual notices requiring formal delivery per FIDIC Clause 1.3</w:t>
      </w:r>
    </w:p>
    <w:p>
      <w:pPr>
        <w:pStyle w:val="ListBullet"/>
        <w:spacing w:after="60"/>
      </w:pPr>
      <w:r>
        <w:t>Authority submissions requiring official documentation</w:t>
      </w:r>
    </w:p>
    <w:p>
      <w:pPr>
        <w:pStyle w:val="ListBullet"/>
        <w:spacing w:after="60"/>
      </w:pPr>
      <w:r>
        <w:t>Certified delivery with signature confirmation for time-bar compliance</w:t>
      </w:r>
    </w:p>
    <w:p>
      <w:pPr>
        <w:pStyle w:val="Heading2"/>
      </w:pPr>
      <w:r>
        <w:t>Dashboard (Power BI)</w:t>
      </w:r>
    </w:p>
    <w:p>
      <w:pPr>
        <w:pStyle w:val="ListBullet"/>
        <w:spacing w:after="60"/>
      </w:pPr>
      <w:r>
        <w:t>Executive reporting and KPI visualisation for Owner briefings</w:t>
      </w:r>
    </w:p>
    <w:p>
      <w:pPr>
        <w:pStyle w:val="ListBullet"/>
        <w:spacing w:after="60"/>
      </w:pPr>
      <w:r>
        <w:t>Updated monthly or on-demand by HAI PMO</w:t>
      </w:r>
    </w:p>
    <w:p>
      <w:pPr>
        <w:pStyle w:val="ListBullet"/>
        <w:spacing w:after="60"/>
      </w:pPr>
      <w:r>
        <w:t>Provides high-level status without detailed technical information</w:t>
      </w:r>
    </w:p>
    <w:p>
      <w:r>
        <w:br w:type="page"/>
      </w:r>
    </w:p>
    <w:p>
      <w:pPr>
        <w:pStyle w:val="Heading1"/>
      </w:pPr>
      <w:r>
        <w:t>6. Communication Matrix</w:t>
      </w:r>
    </w:p>
    <w:p/>
    <w:p>
      <w:pPr>
        <w:spacing w:after="120"/>
      </w:pPr>
      <w:r>
        <w:t>The Communication Matrix (Appendix B) documents 30 distinct communication items, organized into 8 categories. This section provides a narrative overview of the matrix structure.</w:t>
      </w:r>
    </w:p>
    <w:p/>
    <w:p>
      <w:pPr>
        <w:pStyle w:val="Heading2"/>
      </w:pPr>
      <w:r>
        <w:t>Matrix Organization</w:t>
      </w:r>
    </w:p>
    <w:p>
      <w:pPr>
        <w:spacing w:after="120"/>
      </w:pPr>
      <w:r>
        <w:t>The 30 communication items are systematically classified as follows: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val="clear" w:fill="1B2A4A"/>
          </w:tcPr>
          <w:p>
            <w:r>
              <w:rPr>
                <w:b/>
                <w:color w:val="FFFFFF"/>
                <w:sz w:val="20"/>
              </w:rPr>
              <w:t>Category</w:t>
            </w:r>
          </w:p>
        </w:tc>
        <w:tc>
          <w:tcPr>
            <w:tcW w:type="dxa" w:w="2340"/>
            <w:shd w:val="clear" w:fill="1B2A4A"/>
          </w:tcPr>
          <w:p>
            <w:r>
              <w:rPr>
                <w:b/>
                <w:color w:val="FFFFFF"/>
                <w:sz w:val="20"/>
              </w:rPr>
              <w:t>Comm IDs</w:t>
            </w:r>
          </w:p>
        </w:tc>
        <w:tc>
          <w:tcPr>
            <w:tcW w:type="dxa" w:w="2340"/>
            <w:shd w:val="clear" w:fill="1B2A4A"/>
          </w:tcPr>
          <w:p>
            <w:r>
              <w:rPr>
                <w:b/>
                <w:color w:val="FFFFFF"/>
                <w:sz w:val="20"/>
              </w:rPr>
              <w:t>Key Items</w:t>
            </w:r>
          </w:p>
        </w:tc>
        <w:tc>
          <w:tcPr>
            <w:tcW w:type="dxa" w:w="2340"/>
            <w:shd w:val="clear" w:fill="1B2A4A"/>
          </w:tcPr>
          <w:p>
            <w:r>
              <w:rPr>
                <w:b/>
                <w:color w:val="FFFFFF"/>
                <w:sz w:val="20"/>
              </w:rPr>
              <w:t>Typical Frequency</w:t>
            </w:r>
          </w:p>
        </w:tc>
      </w:tr>
      <w:tr>
        <w:tc>
          <w:tcPr>
            <w:tcW w:type="dxa" w:w="2340"/>
            <w:shd w:val="clear" w:fill="F0F0F0"/>
          </w:tcPr>
          <w:p>
            <w:r>
              <w:rPr>
                <w:b w:val="0"/>
                <w:sz w:val="20"/>
              </w:rPr>
              <w:t>Governance &amp; Reporting</w:t>
            </w:r>
          </w:p>
        </w:tc>
        <w:tc>
          <w:tcPr>
            <w:tcW w:type="dxa" w:w="2340"/>
            <w:shd w:val="clear" w:fill="F0F0F0"/>
          </w:tcPr>
          <w:p>
            <w:r>
              <w:rPr>
                <w:b w:val="0"/>
                <w:sz w:val="20"/>
              </w:rPr>
              <w:t>CM-01 to CM-05</w:t>
            </w:r>
          </w:p>
        </w:tc>
        <w:tc>
          <w:tcPr>
            <w:tcW w:type="dxa" w:w="2340"/>
            <w:shd w:val="clear" w:fill="F0F0F0"/>
          </w:tcPr>
          <w:p>
            <w:r>
              <w:rPr>
                <w:b w:val="0"/>
                <w:sz w:val="20"/>
              </w:rPr>
              <w:t>Board reports, monthly reports, forecasts, dashboards</w:t>
            </w:r>
          </w:p>
        </w:tc>
        <w:tc>
          <w:tcPr>
            <w:tcW w:type="dxa" w:w="2340"/>
            <w:shd w:val="clear" w:fill="F0F0F0"/>
          </w:tcPr>
          <w:p>
            <w:r>
              <w:rPr>
                <w:b w:val="0"/>
                <w:sz w:val="20"/>
              </w:rPr>
              <w:t>Monthly, weekly, on-demand</w:t>
            </w:r>
          </w:p>
        </w:tc>
      </w:tr>
      <w:tr>
        <w:tc>
          <w:tcPr>
            <w:tcW w:type="dxa" w:w="2340"/>
          </w:tcPr>
          <w:p>
            <w:r>
              <w:rPr>
                <w:b w:val="0"/>
                <w:sz w:val="20"/>
              </w:rPr>
              <w:t>Meetings</w:t>
            </w:r>
          </w:p>
        </w:tc>
        <w:tc>
          <w:tcPr>
            <w:tcW w:type="dxa" w:w="2340"/>
          </w:tcPr>
          <w:p>
            <w:r>
              <w:rPr>
                <w:b w:val="0"/>
                <w:sz w:val="20"/>
              </w:rPr>
              <w:t>CM-06 to CM-11</w:t>
            </w:r>
          </w:p>
        </w:tc>
        <w:tc>
          <w:tcPr>
            <w:tcW w:type="dxa" w:w="2340"/>
          </w:tcPr>
          <w:p>
            <w:r>
              <w:rPr>
                <w:b w:val="0"/>
                <w:sz w:val="20"/>
              </w:rPr>
              <w:t>Progress, coordination, commercial, quality, HSE meetings</w:t>
            </w:r>
          </w:p>
        </w:tc>
        <w:tc>
          <w:tcPr>
            <w:tcW w:type="dxa" w:w="2340"/>
          </w:tcPr>
          <w:p>
            <w:r>
              <w:rPr>
                <w:b w:val="0"/>
                <w:sz w:val="20"/>
              </w:rPr>
              <w:t>Weekly to monthly</w:t>
            </w:r>
          </w:p>
        </w:tc>
      </w:tr>
      <w:tr>
        <w:tc>
          <w:tcPr>
            <w:tcW w:type="dxa" w:w="2340"/>
            <w:shd w:val="clear" w:fill="F0F0F0"/>
          </w:tcPr>
          <w:p>
            <w:r>
              <w:rPr>
                <w:b w:val="0"/>
                <w:sz w:val="20"/>
              </w:rPr>
              <w:t>Document Submittals</w:t>
            </w:r>
          </w:p>
        </w:tc>
        <w:tc>
          <w:tcPr>
            <w:tcW w:type="dxa" w:w="2340"/>
            <w:shd w:val="clear" w:fill="F0F0F0"/>
          </w:tcPr>
          <w:p>
            <w:r>
              <w:rPr>
                <w:b w:val="0"/>
                <w:sz w:val="20"/>
              </w:rPr>
              <w:t>CM-12 to CM-15</w:t>
            </w:r>
          </w:p>
        </w:tc>
        <w:tc>
          <w:tcPr>
            <w:tcW w:type="dxa" w:w="2340"/>
            <w:shd w:val="clear" w:fill="F0F0F0"/>
          </w:tcPr>
          <w:p>
            <w:r>
              <w:rPr>
                <w:b w:val="0"/>
                <w:sz w:val="20"/>
              </w:rPr>
              <w:t>Design docs, shop drawings, RFI, material submittals</w:t>
            </w:r>
          </w:p>
        </w:tc>
        <w:tc>
          <w:tcPr>
            <w:tcW w:type="dxa" w:w="2340"/>
            <w:shd w:val="clear" w:fill="F0F0F0"/>
          </w:tcPr>
          <w:p>
            <w:r>
              <w:rPr>
                <w:b w:val="0"/>
                <w:sz w:val="20"/>
              </w:rPr>
              <w:t>On-demand, per schedule</w:t>
            </w:r>
          </w:p>
        </w:tc>
      </w:tr>
      <w:tr>
        <w:tc>
          <w:tcPr>
            <w:tcW w:type="dxa" w:w="2340"/>
          </w:tcPr>
          <w:p>
            <w:r>
              <w:rPr>
                <w:b w:val="0"/>
                <w:sz w:val="20"/>
              </w:rPr>
              <w:t>Contractual</w:t>
            </w:r>
          </w:p>
        </w:tc>
        <w:tc>
          <w:tcPr>
            <w:tcW w:type="dxa" w:w="2340"/>
          </w:tcPr>
          <w:p>
            <w:r>
              <w:rPr>
                <w:b w:val="0"/>
                <w:sz w:val="20"/>
              </w:rPr>
              <w:t>CM-16 to CM-20</w:t>
            </w:r>
          </w:p>
        </w:tc>
        <w:tc>
          <w:tcPr>
            <w:tcW w:type="dxa" w:w="2340"/>
          </w:tcPr>
          <w:p>
            <w:r>
              <w:rPr>
                <w:b w:val="0"/>
                <w:sz w:val="20"/>
              </w:rPr>
              <w:t>Notices, claims, payment apps, variations, EoT</w:t>
            </w:r>
          </w:p>
        </w:tc>
        <w:tc>
          <w:tcPr>
            <w:tcW w:type="dxa" w:w="2340"/>
          </w:tcPr>
          <w:p>
            <w:r>
              <w:rPr>
                <w:b w:val="0"/>
                <w:sz w:val="20"/>
              </w:rPr>
              <w:t>As triggered, monthly</w:t>
            </w:r>
          </w:p>
        </w:tc>
      </w:tr>
      <w:tr>
        <w:tc>
          <w:tcPr>
            <w:tcW w:type="dxa" w:w="2340"/>
            <w:shd w:val="clear" w:fill="F0F0F0"/>
          </w:tcPr>
          <w:p>
            <w:r>
              <w:rPr>
                <w:b w:val="0"/>
                <w:sz w:val="20"/>
              </w:rPr>
              <w:t>Quality &amp; Inspection</w:t>
            </w:r>
          </w:p>
        </w:tc>
        <w:tc>
          <w:tcPr>
            <w:tcW w:type="dxa" w:w="2340"/>
            <w:shd w:val="clear" w:fill="F0F0F0"/>
          </w:tcPr>
          <w:p>
            <w:r>
              <w:rPr>
                <w:b w:val="0"/>
                <w:sz w:val="20"/>
              </w:rPr>
              <w:t>CM-21 to CM-23</w:t>
            </w:r>
          </w:p>
        </w:tc>
        <w:tc>
          <w:tcPr>
            <w:tcW w:type="dxa" w:w="2340"/>
            <w:shd w:val="clear" w:fill="F0F0F0"/>
          </w:tcPr>
          <w:p>
            <w:r>
              <w:rPr>
                <w:b w:val="0"/>
                <w:sz w:val="20"/>
              </w:rPr>
              <w:t>NCR, WIR, MIR, CVI</w:t>
            </w:r>
          </w:p>
        </w:tc>
        <w:tc>
          <w:tcPr>
            <w:tcW w:type="dxa" w:w="2340"/>
            <w:shd w:val="clear" w:fill="F0F0F0"/>
          </w:tcPr>
          <w:p>
            <w:r>
              <w:rPr>
                <w:b w:val="0"/>
                <w:sz w:val="20"/>
              </w:rPr>
              <w:t>As required, ongoing</w:t>
            </w:r>
          </w:p>
        </w:tc>
      </w:tr>
      <w:tr>
        <w:tc>
          <w:tcPr>
            <w:tcW w:type="dxa" w:w="2340"/>
          </w:tcPr>
          <w:p>
            <w:r>
              <w:rPr>
                <w:b w:val="0"/>
                <w:sz w:val="20"/>
              </w:rPr>
              <w:t>HSE</w:t>
            </w:r>
          </w:p>
        </w:tc>
        <w:tc>
          <w:tcPr>
            <w:tcW w:type="dxa" w:w="2340"/>
          </w:tcPr>
          <w:p>
            <w:r>
              <w:rPr>
                <w:b w:val="0"/>
                <w:sz w:val="20"/>
              </w:rPr>
              <w:t>CM-24 to CM-25</w:t>
            </w:r>
          </w:p>
        </w:tc>
        <w:tc>
          <w:tcPr>
            <w:tcW w:type="dxa" w:w="2340"/>
          </w:tcPr>
          <w:p>
            <w:r>
              <w:rPr>
                <w:b w:val="0"/>
                <w:sz w:val="20"/>
              </w:rPr>
              <w:t>Toolbox talks, incident reports, audits</w:t>
            </w:r>
          </w:p>
        </w:tc>
        <w:tc>
          <w:tcPr>
            <w:tcW w:type="dxa" w:w="2340"/>
          </w:tcPr>
          <w:p>
            <w:r>
              <w:rPr>
                <w:b w:val="0"/>
                <w:sz w:val="20"/>
              </w:rPr>
              <w:t>Weekly, as triggered</w:t>
            </w:r>
          </w:p>
        </w:tc>
      </w:tr>
      <w:tr>
        <w:tc>
          <w:tcPr>
            <w:tcW w:type="dxa" w:w="2340"/>
            <w:shd w:val="clear" w:fill="F0F0F0"/>
          </w:tcPr>
          <w:p>
            <w:r>
              <w:rPr>
                <w:b w:val="0"/>
                <w:sz w:val="20"/>
              </w:rPr>
              <w:t>Authority &amp; Cert</w:t>
            </w:r>
          </w:p>
        </w:tc>
        <w:tc>
          <w:tcPr>
            <w:tcW w:type="dxa" w:w="2340"/>
            <w:shd w:val="clear" w:fill="F0F0F0"/>
          </w:tcPr>
          <w:p>
            <w:r>
              <w:rPr>
                <w:b w:val="0"/>
                <w:sz w:val="20"/>
              </w:rPr>
              <w:t>CM-26 to CM-27</w:t>
            </w:r>
          </w:p>
        </w:tc>
        <w:tc>
          <w:tcPr>
            <w:tcW w:type="dxa" w:w="2340"/>
            <w:shd w:val="clear" w:fill="F0F0F0"/>
          </w:tcPr>
          <w:p>
            <w:r>
              <w:rPr>
                <w:b w:val="0"/>
                <w:sz w:val="20"/>
              </w:rPr>
              <w:t>Approvals, certifications, licenses</w:t>
            </w:r>
          </w:p>
        </w:tc>
        <w:tc>
          <w:tcPr>
            <w:tcW w:type="dxa" w:w="2340"/>
            <w:shd w:val="clear" w:fill="F0F0F0"/>
          </w:tcPr>
          <w:p>
            <w:r>
              <w:rPr>
                <w:b w:val="0"/>
                <w:sz w:val="20"/>
              </w:rPr>
              <w:t>Per authority timeline</w:t>
            </w:r>
          </w:p>
        </w:tc>
      </w:tr>
      <w:tr>
        <w:tc>
          <w:tcPr>
            <w:tcW w:type="dxa" w:w="2340"/>
          </w:tcPr>
          <w:p>
            <w:r>
              <w:rPr>
                <w:b w:val="0"/>
                <w:sz w:val="20"/>
              </w:rPr>
              <w:t>Handover &amp; Close-out</w:t>
            </w:r>
          </w:p>
        </w:tc>
        <w:tc>
          <w:tcPr>
            <w:tcW w:type="dxa" w:w="2340"/>
          </w:tcPr>
          <w:p>
            <w:r>
              <w:rPr>
                <w:b w:val="0"/>
                <w:sz w:val="20"/>
              </w:rPr>
              <w:t>CM-28 to CM-30</w:t>
            </w:r>
          </w:p>
        </w:tc>
        <w:tc>
          <w:tcPr>
            <w:tcW w:type="dxa" w:w="2340"/>
          </w:tcPr>
          <w:p>
            <w:r>
              <w:rPr>
                <w:b w:val="0"/>
                <w:sz w:val="20"/>
              </w:rPr>
              <w:t>Final inspections, warranties, lessons learned</w:t>
            </w:r>
          </w:p>
        </w:tc>
        <w:tc>
          <w:tcPr>
            <w:tcW w:type="dxa" w:w="2340"/>
          </w:tcPr>
          <w:p>
            <w:r>
              <w:rPr>
                <w:b w:val="0"/>
                <w:sz w:val="20"/>
              </w:rPr>
              <w:t>Final project stage</w:t>
            </w:r>
          </w:p>
        </w:tc>
      </w:tr>
    </w:tbl>
    <w:p/>
    <w:p>
      <w:pPr>
        <w:spacing w:after="120"/>
      </w:pPr>
      <w:r>
        <w:t>The complete Communication Matrix Excel file (Appendix B) provides detailed ownership, frequency, and distribution details for each of the 30 communication items.</w:t>
      </w:r>
    </w:p>
    <w:p>
      <w:r>
        <w:br w:type="page"/>
      </w:r>
    </w:p>
    <w:p>
      <w:pPr>
        <w:pStyle w:val="Heading1"/>
      </w:pPr>
      <w:r>
        <w:t>7. Meeting Protocols</w:t>
      </w:r>
    </w:p>
    <w:p/>
    <w:p>
      <w:pPr>
        <w:spacing w:after="120"/>
      </w:pPr>
      <w:r>
        <w:t>Effective meeting management is critical to project coordination. This section establishes standardised protocols for all project meetings.</w:t>
      </w:r>
    </w:p>
    <w:p/>
    <w:p>
      <w:pPr>
        <w:pStyle w:val="Heading2"/>
      </w:pPr>
      <w:r>
        <w:t>Agenda &amp; Notice</w:t>
      </w:r>
    </w:p>
    <w:p>
      <w:pPr>
        <w:pStyle w:val="ListBullet"/>
        <w:spacing w:after="60"/>
      </w:pPr>
      <w:r>
        <w:t>Agendas issued minimum 5 working days in advance for major meetings; Contractor 48h for non-urgent, Engineer no notice required (SC 3.6)</w:t>
      </w:r>
    </w:p>
    <w:p>
      <w:pPr>
        <w:pStyle w:val="ListBullet"/>
        <w:spacing w:after="60"/>
      </w:pPr>
      <w:r>
        <w:t>Agendas issued minimum 2 working days in advance for progress meetings</w:t>
      </w:r>
    </w:p>
    <w:p>
      <w:pPr>
        <w:pStyle w:val="ListBullet"/>
        <w:spacing w:after="60"/>
      </w:pPr>
      <w:r>
        <w:t>Ad-hoc emergency meetings may proceed with verbal agenda, followed by written confirmation</w:t>
      </w:r>
    </w:p>
    <w:p>
      <w:pPr>
        <w:pStyle w:val="Heading2"/>
      </w:pPr>
      <w:r>
        <w:t>Minutes &amp; Documentation</w:t>
      </w:r>
    </w:p>
    <w:p>
      <w:pPr>
        <w:pStyle w:val="ListBullet"/>
        <w:spacing w:after="60"/>
      </w:pPr>
      <w:r>
        <w:t>Minutes of Meeting (MOM) issued within 48 hours of completion (maximum) per SC 3.6</w:t>
      </w:r>
    </w:p>
    <w:p>
      <w:pPr>
        <w:pStyle w:val="ListBullet"/>
        <w:spacing w:after="60"/>
      </w:pPr>
      <w:r>
        <w:t>MOM documents discussion, decisions, action items, and owners</w:t>
      </w:r>
    </w:p>
    <w:p>
      <w:pPr>
        <w:pStyle w:val="ListBullet"/>
        <w:spacing w:after="60"/>
      </w:pPr>
      <w:r>
        <w:t>MOM signed off by meeting chair and circulated to all attendees within 5 working days</w:t>
      </w:r>
    </w:p>
    <w:p>
      <w:pPr>
        <w:pStyle w:val="Heading2"/>
      </w:pPr>
      <w:r>
        <w:t>Action Item Tracking</w:t>
      </w:r>
    </w:p>
    <w:p>
      <w:pPr>
        <w:pStyle w:val="ListBullet"/>
        <w:spacing w:after="60"/>
      </w:pPr>
      <w:r>
        <w:t>Each action item assigned to named owner with explicit deadline</w:t>
      </w:r>
    </w:p>
    <w:p>
      <w:pPr>
        <w:pStyle w:val="ListBullet"/>
        <w:spacing w:after="60"/>
      </w:pPr>
      <w:r>
        <w:t>Status tracked in shared action register updated monthly</w:t>
      </w:r>
    </w:p>
    <w:p>
      <w:pPr>
        <w:pStyle w:val="ListBullet"/>
        <w:spacing w:after="60"/>
      </w:pPr>
      <w:r>
        <w:t>Overdue actions flagged and escalated at next meeting</w:t>
      </w:r>
    </w:p>
    <w:p>
      <w:pPr>
        <w:pStyle w:val="Heading2"/>
      </w:pPr>
      <w:r>
        <w:t>Attendance &amp; Delegation</w:t>
      </w:r>
    </w:p>
    <w:p>
      <w:pPr>
        <w:pStyle w:val="ListBullet"/>
        <w:spacing w:after="60"/>
      </w:pPr>
      <w:r>
        <w:t>Attendance at designated meetings is mandatory</w:t>
      </w:r>
    </w:p>
    <w:p>
      <w:pPr>
        <w:pStyle w:val="ListBullet"/>
        <w:spacing w:after="60"/>
      </w:pPr>
      <w:r>
        <w:t>Non-attendance requires written delegation to a qualified alternate</w:t>
      </w:r>
    </w:p>
    <w:p>
      <w:pPr>
        <w:pStyle w:val="ListBullet"/>
        <w:spacing w:after="60"/>
      </w:pPr>
      <w:r>
        <w:t>Repeated non-attendance escalated to senior management</w:t>
      </w:r>
    </w:p>
    <w:p>
      <w:pPr>
        <w:pStyle w:val="Heading2"/>
      </w:pPr>
      <w:r>
        <w:t>Standard Meeting Schedule</w:t>
      </w:r>
    </w:p>
    <w:p>
      <w:pPr>
        <w:spacing w:after="120"/>
      </w:pPr>
      <w:r>
        <w:t>Nine standard meetings established per meeting schedule (Appendix D):</w:t>
      </w:r>
    </w:p>
    <w:p>
      <w:pPr>
        <w:pStyle w:val="ListBullet"/>
        <w:spacing w:after="60"/>
      </w:pPr>
      <w:r>
        <w:t>MTG-01: Executive Steering Committee (monthly or as required)</w:t>
      </w:r>
    </w:p>
    <w:p>
      <w:pPr>
        <w:pStyle w:val="ListBullet"/>
        <w:spacing w:after="60"/>
      </w:pPr>
      <w:r>
        <w:t>MTG-02: Project Coordination (bi-weekly)</w:t>
      </w:r>
    </w:p>
    <w:p>
      <w:pPr>
        <w:pStyle w:val="ListBullet"/>
        <w:spacing w:after="60"/>
      </w:pPr>
      <w:r>
        <w:t>MTG-03: Progress Meetings (weekly on-site)</w:t>
      </w:r>
    </w:p>
    <w:p>
      <w:pPr>
        <w:pStyle w:val="ListBullet"/>
        <w:spacing w:after="60"/>
      </w:pPr>
      <w:r>
        <w:t>MTG-04: Design Review (as required per schedule)</w:t>
      </w:r>
    </w:p>
    <w:p>
      <w:pPr>
        <w:pStyle w:val="ListBullet"/>
        <w:spacing w:after="60"/>
      </w:pPr>
      <w:r>
        <w:t>MTG-05: Quality &amp; Compliance (monthly)</w:t>
      </w:r>
    </w:p>
    <w:p>
      <w:pPr>
        <w:pStyle w:val="ListBullet"/>
        <w:spacing w:after="60"/>
      </w:pPr>
      <w:r>
        <w:t>MTG-06: HSE Stand-down (weekly before work)</w:t>
      </w:r>
    </w:p>
    <w:p>
      <w:pPr>
        <w:pStyle w:val="ListBullet"/>
        <w:spacing w:after="60"/>
      </w:pPr>
      <w:r>
        <w:t>MTG-07: Commercial Review (monthly)</w:t>
      </w:r>
    </w:p>
    <w:p>
      <w:pPr>
        <w:pStyle w:val="ListBullet"/>
        <w:spacing w:after="60"/>
      </w:pPr>
      <w:r>
        <w:t>MTG-08: Authority Liaison (quarterly)</w:t>
      </w:r>
    </w:p>
    <w:p>
      <w:pPr>
        <w:pStyle w:val="ListBullet"/>
        <w:spacing w:after="60"/>
      </w:pPr>
      <w:r>
        <w:t>MTG-09: Closeout &amp; Handover (final phase)</w:t>
      </w:r>
    </w:p>
    <w:p>
      <w:r>
        <w:br w:type="page"/>
      </w:r>
    </w:p>
    <w:p>
      <w:pPr>
        <w:pStyle w:val="Heading1"/>
      </w:pPr>
      <w:r>
        <w:t>8. Document Management</w:t>
      </w:r>
    </w:p>
    <w:p/>
    <w:p>
      <w:pPr>
        <w:pStyle w:val="Heading2"/>
      </w:pPr>
      <w:r>
        <w:t>Document Repository</w:t>
      </w:r>
    </w:p>
    <w:p>
      <w:pPr>
        <w:pStyle w:val="ListBullet"/>
        <w:spacing w:after="60"/>
      </w:pPr>
      <w:r>
        <w:t>All project documents managed via SkyStruct EDMS platform</w:t>
      </w:r>
    </w:p>
    <w:p>
      <w:pPr>
        <w:pStyle w:val="ListBullet"/>
        <w:spacing w:after="60"/>
      </w:pPr>
      <w:r>
        <w:t>No parallel document management systems permitted</w:t>
      </w:r>
    </w:p>
    <w:p>
      <w:pPr>
        <w:pStyle w:val="ListBullet"/>
        <w:spacing w:after="60"/>
      </w:pPr>
      <w:r>
        <w:t>Documents retained in EDMS for minimum 7 years post-completion (per contract)</w:t>
      </w:r>
    </w:p>
    <w:p>
      <w:pPr>
        <w:pStyle w:val="Heading2"/>
      </w:pPr>
      <w:r>
        <w:t>Document Numbering System</w:t>
      </w:r>
    </w:p>
    <w:p>
      <w:pPr>
        <w:spacing w:after="120"/>
      </w:pPr>
      <w:r>
        <w:t>All formal project documents follow the numbering convention:</w:t>
      </w:r>
    </w:p>
    <w:p>
      <w:pPr>
        <w:ind w:left="720"/>
      </w:pPr>
      <w:r>
        <w:rPr>
          <w:b/>
        </w:rPr>
        <w:t>[Project Reference]-[CNT]-[DISC]-[TYPE]-[SEQ]-R[n].[m]</w:t>
      </w:r>
    </w:p>
    <w:p>
      <w:pPr>
        <w:spacing w:after="120"/>
      </w:pPr>
      <w:r>
        <w:t>Where:</w:t>
      </w:r>
    </w:p>
    <w:p>
      <w:pPr>
        <w:pStyle w:val="ListBullet"/>
        <w:spacing w:after="60"/>
      </w:pPr>
      <w:r>
        <w:t>[CNT] = Contractor/Organization code (e.g., HA, MC for Main Contractor)</w:t>
      </w:r>
    </w:p>
    <w:p>
      <w:pPr>
        <w:pStyle w:val="ListBullet"/>
        <w:spacing w:after="60"/>
      </w:pPr>
      <w:r>
        <w:t>[DISC] = Discipline code (e.g., ARC, STR, MEP)</w:t>
      </w:r>
    </w:p>
    <w:p>
      <w:pPr>
        <w:pStyle w:val="ListBullet"/>
        <w:spacing w:after="60"/>
      </w:pPr>
      <w:r>
        <w:t>[TYPE] = Document type code (e.g., DRG=drawing, SDL=schedule, RFI)</w:t>
      </w:r>
    </w:p>
    <w:p>
      <w:pPr>
        <w:pStyle w:val="ListBullet"/>
        <w:spacing w:after="60"/>
      </w:pPr>
      <w:r>
        <w:t>[SEQ] = Sequential number</w:t>
      </w:r>
    </w:p>
    <w:p>
      <w:pPr>
        <w:pStyle w:val="ListBullet"/>
        <w:spacing w:after="60"/>
      </w:pPr>
      <w:r>
        <w:t>R[n].[m] = Revision [major].[minor]</w:t>
      </w:r>
    </w:p>
    <w:p>
      <w:pPr>
        <w:spacing w:after="120"/>
      </w:pPr>
      <w:r>
        <w:t>Example: [Project Reference]-MC-MEP-DRG-0245-R1.2 = Main Contractor MEP drawing 0245, revision 1.2</w:t>
      </w:r>
    </w:p>
    <w:p>
      <w:pPr>
        <w:pStyle w:val="Heading2"/>
      </w:pPr>
      <w:r>
        <w:t>Review &amp; Approval Workflow</w:t>
      </w:r>
    </w:p>
    <w:p>
      <w:pPr>
        <w:spacing w:after="120"/>
      </w:pPr>
      <w:r>
        <w:t>All submittals follow the standardised workflow (PF-01):</w:t>
      </w:r>
    </w:p>
    <w:p>
      <w:pPr>
        <w:pStyle w:val="ListBullet"/>
        <w:spacing w:after="60"/>
      </w:pPr>
      <w:r>
        <w:t>Originator → Originator's Design Consultant → Consultant DC (QA) → Consultant Engineer (QC, A/B/C/D) → HAI Engineer (Endorse/Revise)</w:t>
      </w:r>
    </w:p>
    <w:p>
      <w:pPr>
        <w:spacing w:after="120"/>
      </w:pPr>
      <w:r>
        <w:t>HAI retains override authority at any stage to reject or require revision.</w:t>
      </w:r>
    </w:p>
    <w:p>
      <w:pPr>
        <w:pStyle w:val="Heading2"/>
      </w:pPr>
      <w:r>
        <w:t>Response Times</w:t>
      </w:r>
    </w:p>
    <w:p>
      <w:pPr>
        <w:pStyle w:val="ListBullet"/>
        <w:spacing w:after="60"/>
      </w:pPr>
      <w:r>
        <w:t>Design documents: 15 WD, extendable to 22 WD, then deemed rejected (SC 3.1, 4.28.1)</w:t>
      </w:r>
    </w:p>
    <w:p>
      <w:pPr>
        <w:pStyle w:val="ListBullet"/>
        <w:spacing w:after="60"/>
      </w:pPr>
      <w:r>
        <w:t>Shop drawings: 15 WD, extendable to 22 WD, then deemed rejected (SC 3.1, 4.28.1)</w:t>
      </w:r>
    </w:p>
    <w:p>
      <w:pPr>
        <w:pStyle w:val="ListBullet"/>
        <w:spacing w:after="60"/>
      </w:pPr>
      <w:r>
        <w:t>RFI responses: 3 WD (SC 3.1, 4.28.1)</w:t>
      </w:r>
    </w:p>
    <w:p>
      <w:pPr>
        <w:pStyle w:val="ListBullet"/>
        <w:spacing w:after="60"/>
      </w:pPr>
      <w:r>
        <w:t>Material submittals: 10 calendar days for approval</w:t>
      </w:r>
    </w:p>
    <w:p>
      <w:pPr>
        <w:spacing w:after="120"/>
      </w:pPr>
      <w:r>
        <w:t>Extensions granted only in writing with documented justification.</w:t>
      </w:r>
    </w:p>
    <w:p>
      <w:r>
        <w:br w:type="page"/>
      </w:r>
    </w:p>
    <w:p>
      <w:pPr>
        <w:pStyle w:val="Heading1"/>
      </w:pPr>
      <w:r>
        <w:t>9. Contractual Communications</w:t>
      </w:r>
    </w:p>
    <w:p/>
    <w:p>
      <w:pPr>
        <w:spacing w:after="120"/>
      </w:pPr>
      <w:r>
        <w:t>FIDIC 2017 Conditions of Contract impose specific requirements for formal communications. This section ensures compliance with all contractual obligations. Notice of Dispute (NOD): 48 hours mandatory deadline (SC 1.1.2.32).</w:t>
      </w:r>
    </w:p>
    <w:p/>
    <w:p>
      <w:pPr>
        <w:pStyle w:val="Heading2"/>
      </w:pPr>
      <w:r>
        <w:t>Notices Under FIDIC Clause 1.3</w:t>
      </w:r>
    </w:p>
    <w:p>
      <w:pPr>
        <w:pStyle w:val="ListBullet"/>
        <w:spacing w:after="60"/>
      </w:pPr>
      <w:r>
        <w:t>All notices delivered in writing to specified contractual address</w:t>
      </w:r>
    </w:p>
    <w:p>
      <w:pPr>
        <w:pStyle w:val="ListBullet"/>
        <w:spacing w:after="60"/>
      </w:pPr>
      <w:r>
        <w:t>Delivery by registered mail, courier, or hand delivery with receipt</w:t>
      </w:r>
    </w:p>
    <w:p>
      <w:pPr>
        <w:pStyle w:val="ListBullet"/>
        <w:spacing w:after="60"/>
      </w:pPr>
      <w:r>
        <w:t>Notices effective upon delivery or receipt acknowledgement</w:t>
      </w:r>
    </w:p>
    <w:p>
      <w:pPr>
        <w:pStyle w:val="ListBullet"/>
        <w:spacing w:after="60"/>
      </w:pPr>
      <w:r>
        <w:t>Notice addressee details maintained current in contract administration file</w:t>
      </w:r>
    </w:p>
    <w:p>
      <w:pPr>
        <w:pStyle w:val="Heading2"/>
      </w:pPr>
      <w:r>
        <w:t>Time-Bar Requirements (Clause 20.2)</w:t>
      </w:r>
    </w:p>
    <w:p>
      <w:pPr>
        <w:pStyle w:val="ListBullet"/>
        <w:spacing w:after="60"/>
      </w:pPr>
      <w:r>
        <w:t>All claims must be notified within 28 CD of event awareness — TIME-BARRED (SC 20.2.1)</w:t>
      </w:r>
    </w:p>
    <w:p>
      <w:pPr>
        <w:pStyle w:val="ListBullet"/>
        <w:spacing w:after="60"/>
      </w:pPr>
      <w:r>
        <w:t>Detailed claim: 7 CD — TIME-BARRED (SC 20.2.4). Payment + EOT claims must be simultaneous or void (SC 20.2)</w:t>
      </w:r>
    </w:p>
    <w:p>
      <w:pPr>
        <w:pStyle w:val="ListBullet"/>
        <w:spacing w:after="60"/>
      </w:pPr>
      <w:r>
        <w:t>Proactive calendar maintained tracking time-bar expiry dates</w:t>
      </w:r>
    </w:p>
    <w:p>
      <w:pPr>
        <w:pStyle w:val="ListBullet"/>
        <w:spacing w:after="60"/>
      </w:pPr>
      <w:r>
        <w:t>Monthly dashboard report to PM tracking all open time-bar items</w:t>
      </w:r>
    </w:p>
    <w:p>
      <w:pPr>
        <w:pStyle w:val="Heading2"/>
      </w:pPr>
      <w:r>
        <w:t>Engineer Determination Response (Clause 14)</w:t>
      </w:r>
    </w:p>
    <w:p>
      <w:pPr>
        <w:pStyle w:val="ListBullet"/>
        <w:spacing w:after="60"/>
      </w:pPr>
      <w:r>
        <w:t>Engineer general response: 15 WD, ext. 21 WD (SC 1.9) for claims/disputes; response issued in writing with reasoned determination</w:t>
      </w:r>
    </w:p>
    <w:p>
      <w:pPr>
        <w:pStyle w:val="ListBullet"/>
        <w:spacing w:after="60"/>
      </w:pPr>
      <w:r>
        <w:t>Response issued in writing with reasoned determination</w:t>
      </w:r>
    </w:p>
    <w:p>
      <w:pPr>
        <w:pStyle w:val="ListBullet"/>
        <w:spacing w:after="60"/>
      </w:pPr>
      <w:r>
        <w:t>If response delayed beyond 42 days, contractor entitled to refer to DAB</w:t>
      </w:r>
    </w:p>
    <w:p>
      <w:pPr>
        <w:pStyle w:val="Heading2"/>
      </w:pPr>
      <w:r>
        <w:t>Payment Cycle (Clauses 14.3, 14.6, 14.7)</w:t>
      </w:r>
    </w:p>
    <w:p>
      <w:pPr>
        <w:pStyle w:val="ListBullet"/>
        <w:spacing w:after="60"/>
      </w:pPr>
      <w:r>
        <w:t>Applications submitted by 28th of month for work performed per SC 14.6.1</w:t>
      </w:r>
    </w:p>
    <w:p>
      <w:pPr>
        <w:pStyle w:val="ListBullet"/>
        <w:spacing w:after="60"/>
      </w:pPr>
      <w:r>
        <w:t>Certification issued within 28 CD of application (SC 14.6.1)</w:t>
      </w:r>
    </w:p>
    <w:p>
      <w:pPr>
        <w:pStyle w:val="ListBullet"/>
        <w:spacing w:after="60"/>
      </w:pPr>
      <w:r>
        <w:t>Payment due from Owner within 10 CD of certification (SC 14.7)</w:t>
      </w:r>
    </w:p>
    <w:p>
      <w:pPr>
        <w:spacing w:after="120"/>
      </w:pPr>
      <w:r>
        <w:t>All payment applications tracked with status: submitted, certified, pending, paid.</w:t>
      </w:r>
    </w:p>
    <w:p>
      <w:pPr>
        <w:pStyle w:val="Heading2"/>
      </w:pPr>
      <w:r>
        <w:t>Contractual Communications Register</w:t>
      </w:r>
    </w:p>
    <w:p>
      <w:pPr>
        <w:pStyle w:val="ListBullet"/>
        <w:spacing w:after="60"/>
      </w:pPr>
      <w:r>
        <w:t>All contractual communications logged with timestamp in EDMS</w:t>
      </w:r>
    </w:p>
    <w:p>
      <w:pPr>
        <w:pStyle w:val="ListBullet"/>
        <w:spacing w:after="60"/>
      </w:pPr>
      <w:r>
        <w:t>Register includes: date, recipient, subject, document reference, response status</w:t>
      </w:r>
    </w:p>
    <w:p>
      <w:pPr>
        <w:pStyle w:val="ListBullet"/>
        <w:spacing w:after="60"/>
      </w:pPr>
      <w:r>
        <w:t>Register reviewed monthly and escalated to PM for action items</w:t>
      </w:r>
    </w:p>
    <w:p>
      <w:pPr>
        <w:pStyle w:val="Heading2"/>
      </w:pPr>
      <w:r>
        <w:t>Language Requirements</w:t>
      </w:r>
    </w:p>
    <w:p>
      <w:pPr>
        <w:pStyle w:val="ListBullet"/>
        <w:spacing w:after="60"/>
      </w:pPr>
      <w:r>
        <w:t>Project language: English — All communications in English (SC 1.4)</w:t>
      </w:r>
    </w:p>
    <w:p>
      <w:pPr>
        <w:pStyle w:val="ListBullet"/>
        <w:spacing w:after="60"/>
      </w:pPr>
      <w:r>
        <w:t>Authority submissions: Arabic translation required (with English original retained)</w:t>
      </w:r>
    </w:p>
    <w:p>
      <w:pPr>
        <w:pStyle w:val="ListBullet"/>
        <w:spacing w:after="60"/>
      </w:pPr>
      <w:r>
        <w:t>Multilingual meetings: English as primary, Arabic interpretation available if required</w:t>
      </w:r>
    </w:p>
    <w:p>
      <w:r>
        <w:br w:type="page"/>
      </w:r>
    </w:p>
    <w:p>
      <w:pPr>
        <w:pStyle w:val="Heading1"/>
      </w:pPr>
      <w:r>
        <w:t>10. Escalation Framework</w:t>
      </w:r>
    </w:p>
    <w:p/>
    <w:p>
      <w:pPr>
        <w:spacing w:after="120"/>
      </w:pPr>
      <w:r>
        <w:t>A four-level escalation framework ensures issues are resolved at the appropriate authority level with defined timelines.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val="clear" w:fill="1B2A4A"/>
          </w:tcPr>
          <w:p>
            <w:r>
              <w:rPr>
                <w:b/>
                <w:color w:val="FFFFFF"/>
                <w:sz w:val="20"/>
              </w:rPr>
              <w:t>Level</w:t>
            </w:r>
          </w:p>
        </w:tc>
        <w:tc>
          <w:tcPr>
            <w:tcW w:type="dxa" w:w="2340"/>
            <w:shd w:val="clear" w:fill="1B2A4A"/>
          </w:tcPr>
          <w:p>
            <w:r>
              <w:rPr>
                <w:b/>
                <w:color w:val="FFFFFF"/>
                <w:sz w:val="20"/>
              </w:rPr>
              <w:t>Escalation Trigger</w:t>
            </w:r>
          </w:p>
        </w:tc>
        <w:tc>
          <w:tcPr>
            <w:tcW w:type="dxa" w:w="2340"/>
            <w:shd w:val="clear" w:fill="1B2A4A"/>
          </w:tcPr>
          <w:p>
            <w:r>
              <w:rPr>
                <w:b/>
                <w:color w:val="FFFFFF"/>
                <w:sz w:val="20"/>
              </w:rPr>
              <w:t>Escalated To</w:t>
            </w:r>
          </w:p>
        </w:tc>
        <w:tc>
          <w:tcPr>
            <w:tcW w:type="dxa" w:w="2340"/>
            <w:shd w:val="clear" w:fill="1B2A4A"/>
          </w:tcPr>
          <w:p>
            <w:r>
              <w:rPr>
                <w:b/>
                <w:color w:val="FFFFFF"/>
                <w:sz w:val="20"/>
              </w:rPr>
              <w:t>Response Time</w:t>
            </w:r>
          </w:p>
        </w:tc>
      </w:tr>
      <w:tr>
        <w:tc>
          <w:tcPr>
            <w:tcW w:type="dxa" w:w="2340"/>
            <w:shd w:val="clear" w:fill="F0F0F0"/>
          </w:tcPr>
          <w:p>
            <w:r>
              <w:rPr>
                <w:b w:val="0"/>
                <w:sz w:val="20"/>
              </w:rPr>
              <w:t>Level 1</w:t>
            </w:r>
          </w:p>
        </w:tc>
        <w:tc>
          <w:tcPr>
            <w:tcW w:type="dxa" w:w="2340"/>
            <w:shd w:val="clear" w:fill="F0F0F0"/>
          </w:tcPr>
          <w:p>
            <w:r>
              <w:rPr>
                <w:b w:val="0"/>
                <w:sz w:val="20"/>
              </w:rPr>
              <w:t>Operational issue; site-level resolution possible</w:t>
            </w:r>
          </w:p>
        </w:tc>
        <w:tc>
          <w:tcPr>
            <w:tcW w:type="dxa" w:w="2340"/>
            <w:shd w:val="clear" w:fill="F0F0F0"/>
          </w:tcPr>
          <w:p>
            <w:r>
              <w:rPr>
                <w:b w:val="0"/>
                <w:sz w:val="20"/>
              </w:rPr>
              <w:t>Site Supervisor / Site Manager</w:t>
            </w:r>
          </w:p>
        </w:tc>
        <w:tc>
          <w:tcPr>
            <w:tcW w:type="dxa" w:w="2340"/>
            <w:shd w:val="clear" w:fill="F0F0F0"/>
          </w:tcPr>
          <w:p>
            <w:r>
              <w:t>Same day (4 hours) per SC escalation protocols</w:t>
            </w:r>
          </w:p>
        </w:tc>
      </w:tr>
      <w:tr>
        <w:tc>
          <w:tcPr>
            <w:tcW w:type="dxa" w:w="2340"/>
          </w:tcPr>
          <w:p>
            <w:r>
              <w:rPr>
                <w:b w:val="0"/>
                <w:sz w:val="20"/>
              </w:rPr>
              <w:t>Level 2</w:t>
            </w:r>
          </w:p>
        </w:tc>
        <w:tc>
          <w:tcPr>
            <w:tcW w:type="dxa" w:w="2340"/>
          </w:tcPr>
          <w:p>
            <w:r>
              <w:rPr>
                <w:b w:val="0"/>
                <w:sz w:val="20"/>
              </w:rPr>
              <w:t>Project-level issue; requires PM authority</w:t>
            </w:r>
          </w:p>
        </w:tc>
        <w:tc>
          <w:tcPr>
            <w:tcW w:type="dxa" w:w="2340"/>
          </w:tcPr>
          <w:p>
            <w:r>
              <w:rPr>
                <w:b w:val="0"/>
                <w:sz w:val="20"/>
              </w:rPr>
              <w:t>HAI Project Manager</w:t>
            </w:r>
          </w:p>
        </w:tc>
        <w:tc>
          <w:tcPr>
            <w:tcW w:type="dxa" w:w="2340"/>
          </w:tcPr>
          <w:p>
            <w:r>
              <w:t>48 hours per SC escalation protocols</w:t>
            </w:r>
          </w:p>
        </w:tc>
      </w:tr>
      <w:tr>
        <w:tc>
          <w:tcPr>
            <w:tcW w:type="dxa" w:w="2340"/>
            <w:shd w:val="clear" w:fill="F0F0F0"/>
          </w:tcPr>
          <w:p>
            <w:r>
              <w:rPr>
                <w:b w:val="0"/>
                <w:sz w:val="20"/>
              </w:rPr>
              <w:t>Level 3</w:t>
            </w:r>
          </w:p>
        </w:tc>
        <w:tc>
          <w:tcPr>
            <w:tcW w:type="dxa" w:w="2340"/>
            <w:shd w:val="clear" w:fill="F0F0F0"/>
          </w:tcPr>
          <w:p>
            <w:r>
              <w:rPr>
                <w:b w:val="0"/>
                <w:sz w:val="20"/>
              </w:rPr>
              <w:t>Programme-level impact; strategic decision</w:t>
            </w:r>
          </w:p>
        </w:tc>
        <w:tc>
          <w:tcPr>
            <w:tcW w:type="dxa" w:w="2340"/>
            <w:shd w:val="clear" w:fill="F0F0F0"/>
          </w:tcPr>
          <w:p>
            <w:r>
              <w:rPr>
                <w:b w:val="0"/>
                <w:sz w:val="20"/>
              </w:rPr>
              <w:t>HAI Programme Director</w:t>
            </w:r>
          </w:p>
        </w:tc>
        <w:tc>
          <w:tcPr>
            <w:tcW w:type="dxa" w:w="2340"/>
            <w:shd w:val="clear" w:fill="F0F0F0"/>
          </w:tcPr>
          <w:p>
            <w:r>
              <w:rPr>
                <w:b w:val="0"/>
                <w:sz w:val="20"/>
              </w:rPr>
              <w:t>5 working days</w:t>
            </w:r>
          </w:p>
        </w:tc>
      </w:tr>
      <w:tr>
        <w:tc>
          <w:tcPr>
            <w:tcW w:type="dxa" w:w="2340"/>
          </w:tcPr>
          <w:p>
            <w:r>
              <w:rPr>
                <w:b w:val="0"/>
                <w:sz w:val="20"/>
              </w:rPr>
              <w:t>Level 4</w:t>
            </w:r>
          </w:p>
        </w:tc>
        <w:tc>
          <w:tcPr>
            <w:tcW w:type="dxa" w:w="2340"/>
          </w:tcPr>
          <w:p>
            <w:r>
              <w:rPr>
                <w:b w:val="0"/>
                <w:sz w:val="20"/>
              </w:rPr>
              <w:t>Executive level; Owner decision required</w:t>
            </w:r>
          </w:p>
        </w:tc>
        <w:tc>
          <w:tcPr>
            <w:tcW w:type="dxa" w:w="2340"/>
          </w:tcPr>
          <w:p>
            <w:r>
              <w:rPr>
                <w:b w:val="0"/>
                <w:sz w:val="20"/>
              </w:rPr>
              <w:t>Artan Holding Board / Executive</w:t>
            </w:r>
          </w:p>
        </w:tc>
        <w:tc>
          <w:tcPr>
            <w:tcW w:type="dxa" w:w="2340"/>
          </w:tcPr>
          <w:p>
            <w:r>
              <w:rPr>
                <w:b w:val="0"/>
                <w:sz w:val="20"/>
              </w:rPr>
              <w:t>Immediate briefing</w:t>
            </w:r>
          </w:p>
        </w:tc>
      </w:tr>
    </w:tbl>
    <w:p/>
    <w:p>
      <w:pPr>
        <w:spacing w:after="120"/>
      </w:pPr>
      <w:r>
        <w:t>All escalations documented in writing with issue description, impact, and recommended action.</w:t>
      </w:r>
    </w:p>
    <w:p>
      <w:r>
        <w:br w:type="page"/>
      </w:r>
    </w:p>
    <w:p>
      <w:pPr>
        <w:pStyle w:val="Heading1"/>
      </w:pPr>
      <w:r>
        <w:t>11. Distribution &amp; Confidentiality</w:t>
      </w:r>
    </w:p>
    <w:p/>
    <w:p>
      <w:pPr>
        <w:pStyle w:val="Heading2"/>
      </w:pPr>
      <w:r>
        <w:t>RACI Model</w:t>
      </w:r>
    </w:p>
    <w:p>
      <w:pPr>
        <w:pStyle w:val="ListBullet"/>
        <w:spacing w:after="60"/>
      </w:pPr>
      <w:r>
        <w:t>All communications distributed per RACI matrix (Appendix E)</w:t>
      </w:r>
    </w:p>
    <w:p>
      <w:pPr>
        <w:pStyle w:val="ListBullet"/>
        <w:spacing w:after="60"/>
      </w:pPr>
      <w:r>
        <w:t>R = Responsible (person who performs the task)</w:t>
      </w:r>
    </w:p>
    <w:p>
      <w:pPr>
        <w:pStyle w:val="ListBullet"/>
        <w:spacing w:after="60"/>
      </w:pPr>
      <w:r>
        <w:t>A = Accountable (authority who must approve/sign-off)</w:t>
      </w:r>
    </w:p>
    <w:p>
      <w:pPr>
        <w:pStyle w:val="ListBullet"/>
        <w:spacing w:after="60"/>
      </w:pPr>
      <w:r>
        <w:t>C = Consulted (must be asked for input)</w:t>
      </w:r>
    </w:p>
    <w:p>
      <w:pPr>
        <w:pStyle w:val="ListBullet"/>
        <w:spacing w:after="60"/>
      </w:pPr>
      <w:r>
        <w:t>I = Informed (must be kept in the loop)</w:t>
      </w:r>
    </w:p>
    <w:p>
      <w:pPr>
        <w:spacing w:after="120"/>
      </w:pPr>
      <w:r>
        <w:t>RACI matrix reviewed and updated quarterly or upon stakeholder changes.</w:t>
      </w:r>
    </w:p>
    <w:p>
      <w:pPr>
        <w:pStyle w:val="Heading2"/>
      </w:pPr>
      <w:r>
        <w:t>Confidentiality Classification</w:t>
      </w:r>
    </w:p>
    <w:p>
      <w:pPr>
        <w:spacing w:after="120"/>
      </w:pPr>
      <w:r>
        <w:t>All documents classified into four tiers:</w:t>
      </w:r>
    </w:p>
    <w:p>
      <w:pPr>
        <w:pStyle w:val="ListBullet"/>
        <w:spacing w:after="60"/>
      </w:pPr>
      <w:r>
        <w:t>Public: Releasable to all external parties; no restrictions</w:t>
      </w:r>
    </w:p>
    <w:p>
      <w:pPr>
        <w:pStyle w:val="ListBullet"/>
        <w:spacing w:after="60"/>
      </w:pPr>
      <w:r>
        <w:t>Internal: For internal HAI/Artan use only; not for external distribution</w:t>
      </w:r>
    </w:p>
    <w:p>
      <w:pPr>
        <w:pStyle w:val="ListBullet"/>
        <w:spacing w:after="60"/>
      </w:pPr>
      <w:r>
        <w:t>Confidential: Commercial or technical sensitivity; restricted access</w:t>
      </w:r>
    </w:p>
    <w:p>
      <w:pPr>
        <w:pStyle w:val="ListBullet"/>
        <w:spacing w:after="60"/>
      </w:pPr>
      <w:r>
        <w:t>Restricted: Legal privilege, dispute-related, or board-level sensitive</w:t>
      </w:r>
    </w:p>
    <w:p>
      <w:pPr>
        <w:pStyle w:val="Heading2"/>
      </w:pPr>
      <w:r>
        <w:t>Commercial Information Protection</w:t>
      </w:r>
    </w:p>
    <w:p>
      <w:pPr>
        <w:pStyle w:val="ListBullet"/>
        <w:spacing w:after="60"/>
      </w:pPr>
      <w:r>
        <w:t>Pricing, cost, and commercial strategy documents restricted to authorised personnel only</w:t>
      </w:r>
    </w:p>
    <w:p>
      <w:pPr>
        <w:pStyle w:val="ListBullet"/>
        <w:spacing w:after="60"/>
      </w:pPr>
      <w:r>
        <w:t>No cost or pricing data shared with contractors or consultants outside their scope</w:t>
      </w:r>
    </w:p>
    <w:p>
      <w:pPr>
        <w:pStyle w:val="ListBullet"/>
        <w:spacing w:after="60"/>
      </w:pPr>
      <w:r>
        <w:t>Variation pricing held in separate confidential file</w:t>
      </w:r>
    </w:p>
    <w:p>
      <w:pPr>
        <w:pStyle w:val="Heading2"/>
      </w:pPr>
      <w:r>
        <w:t>Legal Privilege</w:t>
      </w:r>
    </w:p>
    <w:p>
      <w:pPr>
        <w:pStyle w:val="ListBullet"/>
        <w:spacing w:after="60"/>
      </w:pPr>
      <w:r>
        <w:t>All dispute-related communications and legal advice maintain attorney-client privilege</w:t>
      </w:r>
    </w:p>
    <w:p>
      <w:pPr>
        <w:pStyle w:val="ListBullet"/>
        <w:spacing w:after="60"/>
      </w:pPr>
      <w:r>
        <w:t>Documents prepared at direction of legal counsel marked with privilege notices</w:t>
      </w:r>
    </w:p>
    <w:p>
      <w:pPr>
        <w:pStyle w:val="ListBullet"/>
        <w:spacing w:after="60"/>
      </w:pPr>
      <w:r>
        <w:t>No disclosure without explicit consent from in-house counsel</w:t>
      </w:r>
    </w:p>
    <w:p>
      <w:r>
        <w:br w:type="page"/>
      </w:r>
    </w:p>
    <w:p>
      <w:pPr>
        <w:pStyle w:val="Heading1"/>
      </w:pPr>
      <w:r>
        <w:t>12. Reporting Requirements</w:t>
      </w:r>
    </w:p>
    <w:p/>
    <w:p>
      <w:pPr>
        <w:pStyle w:val="Heading2"/>
      </w:pPr>
      <w:r>
        <w:t>Monthly Progress Report</w:t>
      </w:r>
    </w:p>
    <w:p>
      <w:pPr>
        <w:pStyle w:val="ListBullet"/>
        <w:spacing w:after="60"/>
      </w:pPr>
      <w:r>
        <w:t>Issued by 5th of following month</w:t>
      </w:r>
    </w:p>
    <w:p>
      <w:pPr>
        <w:pStyle w:val="ListBullet"/>
        <w:spacing w:after="60"/>
      </w:pPr>
      <w:r>
        <w:t>Covers: schedule status, budget forecast, quality metrics, HSE performance, risks, issues, achievements</w:t>
      </w:r>
    </w:p>
    <w:p>
      <w:pPr>
        <w:pStyle w:val="ListBullet"/>
        <w:spacing w:after="60"/>
      </w:pPr>
      <w:r>
        <w:t>Audience: HAI PMO, Artan Holding, Design Consultant</w:t>
      </w:r>
    </w:p>
    <w:p>
      <w:pPr>
        <w:pStyle w:val="Heading2"/>
      </w:pPr>
      <w:r>
        <w:t>Weekly Progress Report</w:t>
      </w:r>
    </w:p>
    <w:p>
      <w:pPr>
        <w:pStyle w:val="ListBullet"/>
        <w:spacing w:after="60"/>
      </w:pPr>
      <w:r>
        <w:t>Issued every Thursday by 14:00</w:t>
      </w:r>
    </w:p>
    <w:p>
      <w:pPr>
        <w:pStyle w:val="ListBullet"/>
        <w:spacing w:after="60"/>
      </w:pPr>
      <w:r>
        <w:t>Covers: weekly achievements, schedule progress, critical path items, action item status</w:t>
      </w:r>
    </w:p>
    <w:p>
      <w:pPr>
        <w:pStyle w:val="ListBullet"/>
        <w:spacing w:after="60"/>
      </w:pPr>
      <w:r>
        <w:t>Audience: Project team, site coordinator</w:t>
      </w:r>
    </w:p>
    <w:p>
      <w:pPr>
        <w:pStyle w:val="Heading2"/>
      </w:pPr>
      <w:r>
        <w:t>Forecast Final Cost</w:t>
      </w:r>
    </w:p>
    <w:p>
      <w:pPr>
        <w:pStyle w:val="ListBullet"/>
        <w:spacing w:after="60"/>
      </w:pPr>
      <w:r>
        <w:t>Updated monthly alongside progress report</w:t>
      </w:r>
    </w:p>
    <w:p>
      <w:pPr>
        <w:pStyle w:val="ListBullet"/>
        <w:spacing w:after="60"/>
      </w:pPr>
      <w:r>
        <w:t>Tracks budget variance, committed variations, anticipated claims</w:t>
      </w:r>
    </w:p>
    <w:p>
      <w:pPr>
        <w:pStyle w:val="ListBullet"/>
        <w:spacing w:after="60"/>
      </w:pPr>
      <w:r>
        <w:t>Includes contingency burn-down and risk assessment</w:t>
      </w:r>
    </w:p>
    <w:p>
      <w:pPr>
        <w:pStyle w:val="Heading2"/>
      </w:pPr>
      <w:r>
        <w:t>Executive Dashboard</w:t>
      </w:r>
    </w:p>
    <w:p>
      <w:pPr>
        <w:pStyle w:val="ListBullet"/>
        <w:spacing w:after="60"/>
      </w:pPr>
      <w:r>
        <w:t>Updated monthly or on-demand by HAI PMO</w:t>
      </w:r>
    </w:p>
    <w:p>
      <w:pPr>
        <w:pStyle w:val="ListBullet"/>
        <w:spacing w:after="60"/>
      </w:pPr>
      <w:r>
        <w:t>High-level visual KPI summary for Owner consumption</w:t>
      </w:r>
    </w:p>
    <w:p>
      <w:pPr>
        <w:pStyle w:val="ListBullet"/>
        <w:spacing w:after="60"/>
      </w:pPr>
      <w:r>
        <w:t>Covers: progress %, budget %, schedule status, major risks, HSE metrics</w:t>
      </w:r>
    </w:p>
    <w:p>
      <w:pPr>
        <w:pStyle w:val="Heading2"/>
      </w:pPr>
      <w:r>
        <w:t>Stage Gate Report</w:t>
      </w:r>
    </w:p>
    <w:p>
      <w:pPr>
        <w:pStyle w:val="ListBullet"/>
        <w:spacing w:after="60"/>
      </w:pPr>
      <w:r>
        <w:t>Produced at completion of each RIBA stage</w:t>
      </w:r>
    </w:p>
    <w:p>
      <w:pPr>
        <w:pStyle w:val="ListBullet"/>
        <w:spacing w:after="60"/>
      </w:pPr>
      <w:r>
        <w:t>Confirms stage deliverables, compliance with stage brief, readiness to proceed</w:t>
      </w:r>
    </w:p>
    <w:p>
      <w:pPr>
        <w:pStyle w:val="ListBullet"/>
        <w:spacing w:after="60"/>
      </w:pPr>
      <w:r>
        <w:t>Stage sign-off obtained before advancement to next phase</w:t>
      </w:r>
    </w:p>
    <w:p>
      <w:r>
        <w:br w:type="page"/>
      </w:r>
    </w:p>
    <w:p>
      <w:pPr>
        <w:pStyle w:val="Heading1"/>
      </w:pPr>
      <w:r>
        <w:t>13. Language &amp; Cultural Considerations</w:t>
      </w:r>
    </w:p>
    <w:p/>
    <w:p>
      <w:pPr>
        <w:pStyle w:val="Heading2"/>
      </w:pPr>
      <w:r>
        <w:t>Project Language</w:t>
      </w:r>
    </w:p>
    <w:p>
      <w:pPr>
        <w:pStyle w:val="ListBullet"/>
        <w:spacing w:after="60"/>
      </w:pPr>
      <w:r>
        <w:t>English is the official language for all contract and technical communications (SC 1.4)</w:t>
      </w:r>
    </w:p>
    <w:p>
      <w:pPr>
        <w:pStyle w:val="ListBullet"/>
        <w:spacing w:after="60"/>
      </w:pPr>
      <w:r>
        <w:t>Non-English speakers provided with translation support at meetings as needed</w:t>
      </w:r>
    </w:p>
    <w:p>
      <w:pPr>
        <w:pStyle w:val="Heading2"/>
      </w:pPr>
      <w:r>
        <w:t>Authority Submissions</w:t>
      </w:r>
    </w:p>
    <w:p>
      <w:pPr>
        <w:pStyle w:val="ListBullet"/>
        <w:spacing w:after="60"/>
      </w:pPr>
      <w:r>
        <w:t>All submissions to Qatari authorities include Arabic translation</w:t>
      </w:r>
    </w:p>
    <w:p>
      <w:pPr>
        <w:pStyle w:val="ListBullet"/>
        <w:spacing w:after="60"/>
      </w:pPr>
      <w:r>
        <w:t>English original maintained as the authoritative source document</w:t>
      </w:r>
    </w:p>
    <w:p>
      <w:pPr>
        <w:pStyle w:val="ListBullet"/>
        <w:spacing w:after="60"/>
      </w:pPr>
      <w:r>
        <w:t>Professional translator employed to ensure accuracy in both languages</w:t>
      </w:r>
    </w:p>
    <w:p>
      <w:pPr>
        <w:pStyle w:val="Heading2"/>
      </w:pPr>
      <w:r>
        <w:t>Cultural Protocols — Qatar</w:t>
      </w:r>
    </w:p>
    <w:p>
      <w:pPr>
        <w:pStyle w:val="ListBullet"/>
        <w:spacing w:after="60"/>
      </w:pPr>
      <w:r>
        <w:t>Authority meetings conducted with respect for senior officials and decision-makers</w:t>
      </w:r>
    </w:p>
    <w:p>
      <w:pPr>
        <w:pStyle w:val="ListBullet"/>
        <w:spacing w:after="60"/>
      </w:pPr>
      <w:r>
        <w:t>Meetings scheduled outside prayer times when possible</w:t>
      </w:r>
    </w:p>
    <w:p>
      <w:pPr>
        <w:pStyle w:val="ListBullet"/>
        <w:spacing w:after="60"/>
      </w:pPr>
      <w:r>
        <w:t>Friday and Saturday are the formal weekend; Sunday is first working day</w:t>
      </w:r>
    </w:p>
    <w:p>
      <w:pPr>
        <w:pStyle w:val="ListBullet"/>
        <w:spacing w:after="60"/>
      </w:pPr>
      <w:r>
        <w:t>Ramadan period acknowledged with adjusted working arrangements per local practice</w:t>
      </w:r>
    </w:p>
    <w:p>
      <w:pPr>
        <w:pStyle w:val="Heading2"/>
      </w:pPr>
      <w:r>
        <w:t>Gender Sensitivity</w:t>
      </w:r>
    </w:p>
    <w:p>
      <w:pPr>
        <w:pStyle w:val="ListBullet"/>
        <w:spacing w:after="60"/>
      </w:pPr>
      <w:r>
        <w:t>Mixed-gender meetings conducted professionally with clear agendas</w:t>
      </w:r>
    </w:p>
    <w:p>
      <w:pPr>
        <w:pStyle w:val="ListBullet"/>
        <w:spacing w:after="60"/>
      </w:pPr>
      <w:r>
        <w:t>Site access protocols respect local and international HSE standards</w:t>
      </w:r>
    </w:p>
    <w:p>
      <w:r>
        <w:br w:type="page"/>
      </w:r>
    </w:p>
    <w:p>
      <w:pPr>
        <w:pStyle w:val="Heading1"/>
      </w:pPr>
      <w:r>
        <w:t>14. Review &amp; Update</w:t>
      </w:r>
    </w:p>
    <w:p/>
    <w:p>
      <w:pPr>
        <w:pStyle w:val="Heading2"/>
      </w:pPr>
      <w:r>
        <w:t>Scheduled Review</w:t>
      </w:r>
    </w:p>
    <w:p>
      <w:pPr>
        <w:pStyle w:val="ListBullet"/>
        <w:spacing w:after="60"/>
      </w:pPr>
      <w:r>
        <w:t>This plan reviewed quarterly as minimum by HAI PMO and Programme Director</w:t>
      </w:r>
    </w:p>
    <w:p>
      <w:pPr>
        <w:pStyle w:val="ListBullet"/>
        <w:spacing w:after="60"/>
      </w:pPr>
      <w:r>
        <w:t>Review assesses: effectiveness of communication channels, stakeholder feedback, emerging issues</w:t>
      </w:r>
    </w:p>
    <w:p>
      <w:pPr>
        <w:pStyle w:val="Heading2"/>
      </w:pPr>
      <w:r>
        <w:t>Change Triggers</w:t>
      </w:r>
    </w:p>
    <w:p>
      <w:pPr>
        <w:spacing w:after="120"/>
      </w:pPr>
      <w:r>
        <w:t>Plan updated when triggered by:</w:t>
      </w:r>
    </w:p>
    <w:p>
      <w:pPr>
        <w:pStyle w:val="ListBullet"/>
        <w:spacing w:after="60"/>
      </w:pPr>
      <w:r>
        <w:t>New stakeholder addition or significant personnel change</w:t>
      </w:r>
    </w:p>
    <w:p>
      <w:pPr>
        <w:pStyle w:val="ListBullet"/>
        <w:spacing w:after="60"/>
      </w:pPr>
      <w:r>
        <w:t>Contract amendment affecting communication requirements</w:t>
      </w:r>
    </w:p>
    <w:p>
      <w:pPr>
        <w:pStyle w:val="ListBullet"/>
        <w:spacing w:after="60"/>
      </w:pPr>
      <w:r>
        <w:t>Phase transition (RIBA stage advancement)</w:t>
      </w:r>
    </w:p>
    <w:p>
      <w:pPr>
        <w:pStyle w:val="ListBullet"/>
        <w:spacing w:after="60"/>
      </w:pPr>
      <w:r>
        <w:t>Reorganisation of HAI or contractor management structure</w:t>
      </w:r>
    </w:p>
    <w:p>
      <w:pPr>
        <w:pStyle w:val="ListBullet"/>
        <w:spacing w:after="60"/>
      </w:pPr>
      <w:r>
        <w:t>Lessons learned requiring protocol adjustment</w:t>
      </w:r>
    </w:p>
    <w:p>
      <w:pPr>
        <w:pStyle w:val="Heading2"/>
      </w:pPr>
      <w:r>
        <w:t>Amendment Authority</w:t>
      </w:r>
    </w:p>
    <w:p>
      <w:pPr>
        <w:pStyle w:val="ListBullet"/>
        <w:spacing w:after="60"/>
      </w:pPr>
      <w:r>
        <w:t>Minor amendments (operational refinement) approved by HAI Project Manager</w:t>
      </w:r>
    </w:p>
    <w:p>
      <w:pPr>
        <w:pStyle w:val="ListBullet"/>
        <w:spacing w:after="60"/>
      </w:pPr>
      <w:r>
        <w:t>Major amendments (stakeholder, contract, phase changes) require HAI Programme Director approval</w:t>
      </w:r>
    </w:p>
    <w:p>
      <w:pPr>
        <w:pStyle w:val="ListBullet"/>
        <w:spacing w:after="60"/>
      </w:pPr>
      <w:r>
        <w:t>Updated version issued with new revision number and control table entry</w:t>
      </w:r>
    </w:p>
    <w:p>
      <w:r>
        <w:br w:type="page"/>
      </w:r>
    </w:p>
    <w:p>
      <w:pPr>
        <w:pStyle w:val="Heading1"/>
      </w:pPr>
      <w:r>
        <w:t>Appendices</w:t>
      </w:r>
    </w:p>
    <w:p/>
    <w:p>
      <w:pPr>
        <w:spacing w:after="120"/>
      </w:pPr>
      <w:r>
        <w:t>The following appendices are referenced throughout this document and maintained as separate Excel files:</w:t>
      </w:r>
    </w:p>
    <w:p/>
    <w:p>
      <w:pPr>
        <w:pStyle w:val="ListBullet"/>
        <w:spacing w:after="60"/>
      </w:pPr>
      <w:r>
        <w:t>Appendix A: Stakeholder Register — Contact details, roles, escalation paths</w:t>
      </w:r>
    </w:p>
    <w:p>
      <w:pPr>
        <w:pStyle w:val="ListBullet"/>
        <w:spacing w:after="60"/>
      </w:pPr>
      <w:r>
        <w:t>Appendix B: Communication Matrix — 30 communication items with frequency and owners</w:t>
      </w:r>
    </w:p>
    <w:p>
      <w:pPr>
        <w:pStyle w:val="ListBullet"/>
        <w:spacing w:after="60"/>
      </w:pPr>
      <w:r>
        <w:t>Appendix C: Escalation Matrix — Response times and escalation triggers</w:t>
      </w:r>
    </w:p>
    <w:p>
      <w:pPr>
        <w:pStyle w:val="ListBullet"/>
        <w:spacing w:after="60"/>
      </w:pPr>
      <w:r>
        <w:t>Appendix D: Meeting Schedule — 9 standard meetings with timing and attendees</w:t>
      </w:r>
    </w:p>
    <w:p>
      <w:pPr>
        <w:pStyle w:val="ListBullet"/>
        <w:spacing w:after="60"/>
      </w:pPr>
      <w:r>
        <w:t>Appendix E: Distribution Matrix (RACI) — Stakeholder communication allocation</w:t>
      </w:r>
    </w:p>
    <w:p/>
    <w:p/>
    <w:p>
      <w:pPr>
        <w:pStyle w:val="Heading2"/>
      </w:pPr>
      <w:r>
        <w:t>Document Approval</w:t>
      </w:r>
    </w:p>
    <w:p>
      <w:pPr>
        <w:spacing w:after="120"/>
      </w:pPr>
      <w:r>
        <w:t>This Communication Management Plan has been prepared by HAI Programme Management Office and is subject to review and approval by relevant project authorities.</w:t>
      </w:r>
    </w:p>
    <w:p/>
    <w:p>
      <w:r>
        <w:t>_____________________________</w:t>
      </w:r>
    </w:p>
    <w:p>
      <w:pPr>
        <w:spacing w:after="120"/>
      </w:pPr>
      <w:r>
        <w:t>HAI Project Manager</w:t>
      </w:r>
    </w:p>
    <w:p>
      <w:pPr>
        <w:spacing w:after="120"/>
      </w:pPr>
      <w:r>
        <w:t>Date: ___________________</w:t>
      </w:r>
    </w:p>
    <w:p/>
    <w:p>
      <w:r>
        <w:t>_____________________________</w:t>
      </w:r>
    </w:p>
    <w:p>
      <w:pPr>
        <w:spacing w:after="120"/>
      </w:pPr>
      <w:r>
        <w:t>HAI Programme Director</w:t>
      </w:r>
    </w:p>
    <w:p>
      <w:pPr>
        <w:spacing w:after="120"/>
      </w:pPr>
      <w:r>
        <w:t>Date: ___________________</w:t>
      </w:r>
    </w:p>
    <w:p/>
    <w:p>
      <w:r>
        <w:t>_____________________________</w:t>
      </w:r>
    </w:p>
    <w:p>
      <w:pPr>
        <w:spacing w:after="120"/>
      </w:pPr>
      <w:r>
        <w:t>Artan Holding Representative</w:t>
      </w:r>
    </w:p>
    <w:p>
      <w:pPr>
        <w:spacing w:after="120"/>
      </w:pPr>
      <w:r>
        <w:t>Date: ___________________</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B2A4A"/>
        <w:sz w:val="20"/>
      </w:rPr>
      <w:t>HAI — Employer's Representative | Project A068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